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.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br/>
      </w:r>
      <w:r w:rsidR="003111A5" w:rsidRPr="00292209">
        <w:rPr>
          <w:rFonts w:asciiTheme="majorHAnsi" w:eastAsia="Times New Roman" w:hAnsiTheme="majorHAnsi" w:cstheme="maj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723CBE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60707E">
        <w:rPr>
          <w:rFonts w:asciiTheme="minorHAnsi" w:hAnsiTheme="minorHAnsi" w:cstheme="minorHAnsi"/>
          <w:sz w:val="23"/>
          <w:szCs w:val="23"/>
        </w:rPr>
        <w:t xml:space="preserve">Właściwe zarządzanie obszarami funkcjonalnymi dużych aglomeracji miejskich należy do największych i najtrudniejszych wyzwań, jakie stoją przed polską administracją publiczną. </w:t>
      </w:r>
      <w:r w:rsidR="00CF06FD">
        <w:rPr>
          <w:rFonts w:asciiTheme="minorHAnsi" w:hAnsiTheme="minorHAnsi" w:cstheme="minorHAnsi"/>
          <w:sz w:val="23"/>
          <w:szCs w:val="23"/>
        </w:rPr>
        <w:br/>
      </w:r>
      <w:r w:rsidRPr="0060707E">
        <w:rPr>
          <w:rFonts w:asciiTheme="minorHAnsi" w:hAnsiTheme="minorHAnsi" w:cstheme="minorHAnsi"/>
          <w:sz w:val="23"/>
          <w:szCs w:val="23"/>
        </w:rPr>
        <w:t>Jak sobie z tym radzą samorządy? Najnowszy raport Obserwatorium Polityki Miejskiej IRM został poświęcony właśnie temu zagadnieniu.</w:t>
      </w:r>
      <w:r w:rsidR="007C406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23CBE" w:rsidRPr="00DF1094" w:rsidRDefault="00DF1094" w:rsidP="00723CBE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DF1094">
        <w:rPr>
          <w:rFonts w:asciiTheme="minorHAnsi" w:hAnsiTheme="minorHAnsi" w:cstheme="minorHAnsi"/>
          <w:sz w:val="23"/>
          <w:szCs w:val="23"/>
        </w:rPr>
        <w:t xml:space="preserve">W białostockim </w:t>
      </w:r>
      <w:r w:rsidR="007C4068" w:rsidRPr="00DF1094">
        <w:rPr>
          <w:rFonts w:asciiTheme="minorHAnsi" w:hAnsiTheme="minorHAnsi" w:cstheme="minorHAnsi"/>
          <w:sz w:val="23"/>
          <w:szCs w:val="23"/>
        </w:rPr>
        <w:t xml:space="preserve"> ośrod</w:t>
      </w:r>
      <w:r w:rsidRPr="00DF1094">
        <w:rPr>
          <w:rFonts w:asciiTheme="minorHAnsi" w:hAnsiTheme="minorHAnsi" w:cstheme="minorHAnsi"/>
          <w:sz w:val="23"/>
          <w:szCs w:val="23"/>
        </w:rPr>
        <w:t>ku współpraca inwestycyjna jest na wysokim poziomie.</w:t>
      </w:r>
    </w:p>
    <w:p w:rsidR="00DF1094" w:rsidRPr="00DF1094" w:rsidRDefault="00DF1094" w:rsidP="00DF1094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DF1094">
        <w:rPr>
          <w:rFonts w:cstheme="minorHAnsi"/>
          <w:sz w:val="23"/>
          <w:szCs w:val="23"/>
        </w:rPr>
        <w:t>Mieszkańcy z gmin podmiejskich mają przeciętnie prawie 1,4 kilometra do przystanku</w:t>
      </w:r>
      <w:r>
        <w:rPr>
          <w:rFonts w:cstheme="minorHAnsi"/>
          <w:sz w:val="23"/>
          <w:szCs w:val="23"/>
        </w:rPr>
        <w:t>, ale są i tacy, którzy musz</w:t>
      </w:r>
      <w:r w:rsidR="00F856CE">
        <w:rPr>
          <w:rFonts w:cstheme="minorHAnsi"/>
          <w:sz w:val="23"/>
          <w:szCs w:val="23"/>
        </w:rPr>
        <w:t>ą</w:t>
      </w:r>
      <w:r>
        <w:rPr>
          <w:rFonts w:cstheme="minorHAnsi"/>
          <w:sz w:val="23"/>
          <w:szCs w:val="23"/>
        </w:rPr>
        <w:t xml:space="preserve"> przejść ponad cztery kilometry. </w:t>
      </w:r>
    </w:p>
    <w:p w:rsidR="001131E1" w:rsidRPr="007C4068" w:rsidRDefault="00335105" w:rsidP="00DA073E">
      <w:p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7C4068">
        <w:rPr>
          <w:rFonts w:cstheme="minorHAnsi"/>
          <w:sz w:val="23"/>
          <w:szCs w:val="23"/>
        </w:rPr>
        <w:t xml:space="preserve">przyjętej w 2015 roku </w:t>
      </w:r>
      <w:r w:rsidRPr="007C4068">
        <w:rPr>
          <w:rFonts w:cstheme="minorHAnsi"/>
          <w:sz w:val="23"/>
          <w:szCs w:val="23"/>
        </w:rPr>
        <w:t xml:space="preserve">Krajowej Polityce Miejskiej. Stąd też pomysł na opracowanie </w:t>
      </w:r>
      <w:r w:rsidR="00860157">
        <w:rPr>
          <w:rFonts w:cstheme="minorHAnsi"/>
          <w:sz w:val="23"/>
          <w:szCs w:val="23"/>
        </w:rPr>
        <w:t xml:space="preserve">przez Instytut Rozwoju Miast </w:t>
      </w:r>
      <w:r w:rsidRPr="007C4068">
        <w:rPr>
          <w:rFonts w:cstheme="minorHAnsi"/>
          <w:sz w:val="23"/>
          <w:szCs w:val="23"/>
        </w:rPr>
        <w:t>raportu, którego zadaniem</w:t>
      </w:r>
      <w:bookmarkStart w:id="0" w:name="_GoBack"/>
      <w:bookmarkEnd w:id="0"/>
      <w:r w:rsidRPr="007C4068">
        <w:rPr>
          <w:rFonts w:cstheme="minorHAnsi"/>
          <w:sz w:val="23"/>
          <w:szCs w:val="23"/>
        </w:rPr>
        <w:t xml:space="preserve"> z jednej strony jest diagnoza stanu współpracy międzysamorządowej, </w:t>
      </w:r>
      <w:r w:rsidR="00476172" w:rsidRPr="007C4068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7C4068">
        <w:rPr>
          <w:rFonts w:cstheme="minorHAnsi"/>
          <w:sz w:val="23"/>
          <w:szCs w:val="23"/>
        </w:rPr>
        <w:t xml:space="preserve">Podzielone zostały </w:t>
      </w:r>
      <w:r w:rsidR="004668E9" w:rsidRPr="007C4068">
        <w:rPr>
          <w:rFonts w:cstheme="minorHAnsi"/>
          <w:sz w:val="23"/>
          <w:szCs w:val="23"/>
        </w:rPr>
        <w:t xml:space="preserve">one </w:t>
      </w:r>
      <w:r w:rsidR="001131E1" w:rsidRPr="007C4068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7C4068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7C4068">
        <w:rPr>
          <w:rFonts w:cstheme="minorHAnsi"/>
          <w:b/>
          <w:sz w:val="23"/>
          <w:szCs w:val="23"/>
        </w:rPr>
        <w:t>Zakres raportu</w:t>
      </w:r>
    </w:p>
    <w:p w:rsidR="005C6948" w:rsidRPr="00BE6ED5" w:rsidRDefault="00476172" w:rsidP="009C72F0">
      <w:pPr>
        <w:jc w:val="both"/>
        <w:rPr>
          <w:rFonts w:cstheme="minorHAnsi"/>
          <w:sz w:val="23"/>
          <w:szCs w:val="23"/>
        </w:rPr>
      </w:pPr>
      <w:r w:rsidRPr="00BE6ED5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BE6ED5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BE6ED5">
        <w:rPr>
          <w:rFonts w:cstheme="minorHAnsi"/>
          <w:sz w:val="23"/>
          <w:szCs w:val="23"/>
        </w:rPr>
        <w:t xml:space="preserve"> (MOF)</w:t>
      </w:r>
      <w:r w:rsidR="00D61BF4" w:rsidRPr="00BE6ED5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894110" w:rsidRPr="00BE6ED5">
        <w:rPr>
          <w:rFonts w:cstheme="minorHAnsi"/>
          <w:sz w:val="23"/>
          <w:szCs w:val="23"/>
        </w:rPr>
        <w:t xml:space="preserve"> (ZIT)</w:t>
      </w:r>
      <w:r w:rsidR="00762BE4" w:rsidRPr="00BE6ED5">
        <w:rPr>
          <w:rFonts w:cstheme="minorHAnsi"/>
          <w:sz w:val="23"/>
          <w:szCs w:val="23"/>
        </w:rPr>
        <w:t xml:space="preserve">. </w:t>
      </w:r>
      <w:r w:rsidR="001131E1" w:rsidRPr="00BE6ED5">
        <w:rPr>
          <w:rFonts w:cstheme="minorHAnsi"/>
          <w:sz w:val="23"/>
          <w:szCs w:val="23"/>
        </w:rPr>
        <w:t>Dr</w:t>
      </w:r>
      <w:r w:rsidR="00E707D0" w:rsidRPr="00BE6ED5">
        <w:rPr>
          <w:rFonts w:cstheme="minorHAnsi"/>
          <w:sz w:val="23"/>
          <w:szCs w:val="23"/>
        </w:rPr>
        <w:t xml:space="preserve">uga cześć raportu zatytułowana </w:t>
      </w:r>
      <w:r w:rsidR="00D80F42" w:rsidRPr="00BE6ED5">
        <w:rPr>
          <w:rFonts w:cstheme="minorHAnsi"/>
          <w:i/>
          <w:sz w:val="23"/>
          <w:szCs w:val="23"/>
        </w:rPr>
        <w:t>S</w:t>
      </w:r>
      <w:r w:rsidR="00E707D0" w:rsidRPr="00BE6ED5">
        <w:rPr>
          <w:rFonts w:cstheme="minorHAnsi"/>
          <w:i/>
          <w:sz w:val="23"/>
          <w:szCs w:val="23"/>
        </w:rPr>
        <w:t>pojrzenie w głąb</w:t>
      </w:r>
      <w:r w:rsidR="001131E1" w:rsidRPr="00BE6ED5">
        <w:rPr>
          <w:rFonts w:cstheme="minorHAnsi"/>
          <w:sz w:val="23"/>
          <w:szCs w:val="23"/>
        </w:rPr>
        <w:t xml:space="preserve"> porusza kwestie uwarunkowań współpracy międzysamorządowej w MOF-ach, w tym  mechanizmów sprzyjających jej rozwojowi oraz barier utrudniających współdziałanie.</w:t>
      </w:r>
    </w:p>
    <w:p w:rsidR="003B3ED5" w:rsidRPr="00BE6ED5" w:rsidRDefault="00FC19A2" w:rsidP="00DA073E">
      <w:pPr>
        <w:jc w:val="both"/>
        <w:rPr>
          <w:rFonts w:cstheme="minorHAnsi"/>
          <w:b/>
          <w:sz w:val="23"/>
          <w:szCs w:val="23"/>
        </w:rPr>
      </w:pPr>
      <w:r w:rsidRPr="00BE6ED5">
        <w:rPr>
          <w:rFonts w:cstheme="minorHAnsi"/>
          <w:b/>
          <w:sz w:val="23"/>
          <w:szCs w:val="23"/>
        </w:rPr>
        <w:t>Najważniejsze</w:t>
      </w:r>
      <w:r w:rsidR="003B3ED5" w:rsidRPr="00BE6ED5">
        <w:rPr>
          <w:rFonts w:cstheme="minorHAnsi"/>
          <w:b/>
          <w:sz w:val="23"/>
          <w:szCs w:val="23"/>
        </w:rPr>
        <w:t xml:space="preserve"> wnioski </w:t>
      </w:r>
      <w:r w:rsidR="005179EF" w:rsidRPr="00BE6ED5">
        <w:rPr>
          <w:rFonts w:cstheme="minorHAnsi"/>
          <w:b/>
          <w:sz w:val="23"/>
          <w:szCs w:val="23"/>
        </w:rPr>
        <w:t xml:space="preserve">z raportu </w:t>
      </w:r>
      <w:r w:rsidR="00821586" w:rsidRPr="00BE6ED5">
        <w:rPr>
          <w:rFonts w:cstheme="minorHAnsi"/>
          <w:b/>
          <w:sz w:val="23"/>
          <w:szCs w:val="23"/>
        </w:rPr>
        <w:t>dotyczące</w:t>
      </w:r>
      <w:r w:rsidR="003B3ED5" w:rsidRPr="00BE6ED5">
        <w:rPr>
          <w:rFonts w:cstheme="minorHAnsi"/>
          <w:b/>
          <w:sz w:val="23"/>
          <w:szCs w:val="23"/>
        </w:rPr>
        <w:t xml:space="preserve"> </w:t>
      </w:r>
      <w:r w:rsidR="002E4779" w:rsidRPr="00BE6ED5">
        <w:rPr>
          <w:rFonts w:cstheme="minorHAnsi"/>
          <w:b/>
          <w:sz w:val="23"/>
          <w:szCs w:val="23"/>
        </w:rPr>
        <w:t xml:space="preserve">MOF-u </w:t>
      </w:r>
      <w:r w:rsidR="00691A4C" w:rsidRPr="00BE6ED5">
        <w:rPr>
          <w:rFonts w:cstheme="minorHAnsi"/>
          <w:b/>
          <w:sz w:val="23"/>
          <w:szCs w:val="23"/>
        </w:rPr>
        <w:t>Białegostoku</w:t>
      </w:r>
    </w:p>
    <w:p w:rsidR="00691A4C" w:rsidRPr="00BE6ED5" w:rsidRDefault="00691A4C" w:rsidP="00465973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BE6ED5">
        <w:rPr>
          <w:rFonts w:cstheme="minorHAnsi"/>
          <w:b/>
          <w:color w:val="ED7D31" w:themeColor="accent2"/>
          <w:sz w:val="23"/>
          <w:szCs w:val="23"/>
        </w:rPr>
        <w:t>Współpraca inwestycyjna na najwyższym poziomie</w:t>
      </w:r>
    </w:p>
    <w:p w:rsidR="00A74AB6" w:rsidRPr="00BE6ED5" w:rsidRDefault="00CB4843" w:rsidP="00D52831">
      <w:pPr>
        <w:pStyle w:val="Akapitzlist"/>
        <w:jc w:val="both"/>
        <w:rPr>
          <w:rFonts w:cstheme="minorHAnsi"/>
          <w:sz w:val="23"/>
          <w:szCs w:val="23"/>
        </w:rPr>
      </w:pPr>
      <w:r w:rsidRPr="00BE6ED5">
        <w:rPr>
          <w:rFonts w:cstheme="minorHAnsi"/>
          <w:sz w:val="23"/>
          <w:szCs w:val="23"/>
        </w:rPr>
        <w:t xml:space="preserve">W raporcie przyjrzano się skłonności samorządów do podejmowania wspólnych projektów. </w:t>
      </w:r>
      <w:r w:rsidRPr="00BE6ED5">
        <w:rPr>
          <w:rFonts w:cstheme="minorHAnsi"/>
          <w:b/>
          <w:sz w:val="23"/>
          <w:szCs w:val="23"/>
        </w:rPr>
        <w:t>Na tle innych ośrodków wojewódzkich najlepiej wypada MOF Białegostoku</w:t>
      </w:r>
      <w:r w:rsidRPr="00BE6ED5">
        <w:rPr>
          <w:rFonts w:cstheme="minorHAnsi"/>
          <w:sz w:val="23"/>
          <w:szCs w:val="23"/>
        </w:rPr>
        <w:t xml:space="preserve">, gdzie w stosunku do swojego budżetu najwięcej na wspólne projekty łoży gmina </w:t>
      </w:r>
      <w:r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>Dobrzyniewo Duże</w:t>
      </w:r>
      <w:r w:rsidR="00960739"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>,</w:t>
      </w:r>
      <w:r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Wasilków</w:t>
      </w:r>
      <w:r w:rsidR="00960739"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i </w:t>
      </w:r>
      <w:r w:rsidR="00960739" w:rsidRPr="00BE6ED5">
        <w:rPr>
          <w:rFonts w:cstheme="minorHAnsi"/>
          <w:b/>
          <w:color w:val="1A1A18"/>
          <w:sz w:val="23"/>
          <w:szCs w:val="23"/>
        </w:rPr>
        <w:t>Turośń Kościelna</w:t>
      </w:r>
      <w:r w:rsidRPr="00BE6ED5">
        <w:rPr>
          <w:rFonts w:cstheme="minorHAnsi"/>
          <w:color w:val="333333"/>
          <w:sz w:val="23"/>
          <w:szCs w:val="23"/>
          <w:shd w:val="clear" w:color="auto" w:fill="FFFFFF"/>
        </w:rPr>
        <w:t xml:space="preserve">. Autorzy zwracają jednak uwagę, że ów współpraca w Polsce </w:t>
      </w:r>
      <w:r w:rsidR="00691A4C" w:rsidRPr="00BE6ED5">
        <w:rPr>
          <w:rFonts w:cstheme="minorHAnsi"/>
          <w:sz w:val="23"/>
          <w:szCs w:val="23"/>
        </w:rPr>
        <w:t xml:space="preserve">najczęściej </w:t>
      </w:r>
      <w:r w:rsidRPr="00BE6ED5">
        <w:rPr>
          <w:rFonts w:cstheme="minorHAnsi"/>
          <w:sz w:val="23"/>
          <w:szCs w:val="23"/>
        </w:rPr>
        <w:t xml:space="preserve">związana jest </w:t>
      </w:r>
      <w:r w:rsidR="00691A4C" w:rsidRPr="00BE6ED5">
        <w:rPr>
          <w:rFonts w:cstheme="minorHAnsi"/>
          <w:sz w:val="23"/>
          <w:szCs w:val="23"/>
        </w:rPr>
        <w:t>wydatk</w:t>
      </w:r>
      <w:r w:rsidRPr="00BE6ED5">
        <w:rPr>
          <w:rFonts w:cstheme="minorHAnsi"/>
          <w:sz w:val="23"/>
          <w:szCs w:val="23"/>
        </w:rPr>
        <w:t>ami</w:t>
      </w:r>
      <w:r w:rsidR="00691A4C" w:rsidRPr="00BE6ED5">
        <w:rPr>
          <w:rFonts w:cstheme="minorHAnsi"/>
          <w:sz w:val="23"/>
          <w:szCs w:val="23"/>
        </w:rPr>
        <w:t xml:space="preserve"> gminy na rzecz utrzymania powiatowej infrastruktury drogowe</w:t>
      </w:r>
      <w:r w:rsidRPr="00BE6ED5">
        <w:rPr>
          <w:rFonts w:cstheme="minorHAnsi"/>
          <w:sz w:val="23"/>
          <w:szCs w:val="23"/>
        </w:rPr>
        <w:t>j</w:t>
      </w:r>
      <w:r w:rsidR="00960739" w:rsidRPr="00BE6ED5">
        <w:rPr>
          <w:rFonts w:cstheme="minorHAnsi"/>
          <w:sz w:val="23"/>
          <w:szCs w:val="23"/>
        </w:rPr>
        <w:t>.</w:t>
      </w:r>
      <w:r w:rsidR="00D52831" w:rsidRPr="00BE6ED5">
        <w:rPr>
          <w:rFonts w:cstheme="minorHAnsi"/>
          <w:sz w:val="23"/>
          <w:szCs w:val="23"/>
        </w:rPr>
        <w:t xml:space="preserve"> </w:t>
      </w:r>
      <w:r w:rsidR="00A74AB6" w:rsidRPr="00BE6ED5">
        <w:rPr>
          <w:rFonts w:cstheme="minorHAnsi"/>
          <w:sz w:val="23"/>
          <w:szCs w:val="23"/>
        </w:rPr>
        <w:t>Co więcej w</w:t>
      </w:r>
      <w:r w:rsidR="00A74AB6" w:rsidRPr="00BE6ED5">
        <w:rPr>
          <w:rFonts w:cstheme="minorHAnsi"/>
          <w:color w:val="1A1A18"/>
          <w:sz w:val="23"/>
          <w:szCs w:val="23"/>
        </w:rPr>
        <w:t xml:space="preserve">ydatki transferowane były głównie </w:t>
      </w:r>
      <w:r w:rsidR="00BE6ED5">
        <w:rPr>
          <w:rFonts w:cstheme="minorHAnsi"/>
          <w:color w:val="1A1A18"/>
          <w:sz w:val="23"/>
          <w:szCs w:val="23"/>
        </w:rPr>
        <w:br/>
      </w:r>
      <w:r w:rsidR="00A74AB6" w:rsidRPr="00BE6ED5">
        <w:rPr>
          <w:rFonts w:cstheme="minorHAnsi"/>
          <w:color w:val="1A1A18"/>
          <w:sz w:val="23"/>
          <w:szCs w:val="23"/>
        </w:rPr>
        <w:t>z budżetów gmin strefy podmiejskiej, natomiast miasto centralne – Białystok, właściwie nie poniosło żadnych wydatków.</w:t>
      </w:r>
    </w:p>
    <w:p w:rsidR="00EB564D" w:rsidRPr="00BE6ED5" w:rsidRDefault="00EB564D" w:rsidP="00EB564D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BE6ED5">
        <w:rPr>
          <w:rFonts w:cstheme="minorHAnsi"/>
          <w:b/>
          <w:color w:val="ED7D31" w:themeColor="accent2"/>
          <w:sz w:val="23"/>
          <w:szCs w:val="23"/>
        </w:rPr>
        <w:t>Daleko do przystanków</w:t>
      </w:r>
    </w:p>
    <w:p w:rsidR="006B13F2" w:rsidRPr="00BE6ED5" w:rsidRDefault="006B13F2" w:rsidP="0026109A">
      <w:pPr>
        <w:pStyle w:val="Akapitzlist"/>
        <w:jc w:val="both"/>
        <w:rPr>
          <w:rFonts w:cstheme="minorHAnsi"/>
          <w:sz w:val="23"/>
          <w:szCs w:val="23"/>
          <w:shd w:val="clear" w:color="auto" w:fill="FFFFFF"/>
        </w:rPr>
      </w:pPr>
      <w:r w:rsidRPr="00BE6ED5">
        <w:rPr>
          <w:rFonts w:cstheme="minorHAnsi"/>
          <w:sz w:val="23"/>
          <w:szCs w:val="23"/>
        </w:rPr>
        <w:t xml:space="preserve">Mieszkańcy z gmin podmiejskich mają przeciętnie prawie </w:t>
      </w:r>
      <w:r w:rsidRPr="00BE6ED5">
        <w:rPr>
          <w:rFonts w:cstheme="minorHAnsi"/>
          <w:b/>
          <w:sz w:val="23"/>
          <w:szCs w:val="23"/>
        </w:rPr>
        <w:t>1,4 kilometra</w:t>
      </w:r>
      <w:r w:rsidRPr="00BE6ED5">
        <w:rPr>
          <w:rFonts w:cstheme="minorHAnsi"/>
          <w:sz w:val="23"/>
          <w:szCs w:val="23"/>
        </w:rPr>
        <w:t xml:space="preserve"> </w:t>
      </w:r>
      <w:r w:rsidRPr="00BE6ED5">
        <w:rPr>
          <w:rFonts w:cstheme="minorHAnsi"/>
          <w:b/>
          <w:sz w:val="23"/>
          <w:szCs w:val="23"/>
        </w:rPr>
        <w:t>do przystanku</w:t>
      </w:r>
      <w:r w:rsidRPr="00BE6ED5">
        <w:rPr>
          <w:rFonts w:cstheme="minorHAnsi"/>
          <w:sz w:val="23"/>
          <w:szCs w:val="23"/>
        </w:rPr>
        <w:t xml:space="preserve">. </w:t>
      </w:r>
      <w:r w:rsidR="0026109A" w:rsidRPr="00BE6ED5">
        <w:rPr>
          <w:rFonts w:cstheme="minorHAnsi"/>
          <w:sz w:val="23"/>
          <w:szCs w:val="23"/>
        </w:rPr>
        <w:t xml:space="preserve">Chociaż to daleko, to w gminach otaczających inne miasta wojewódzkie często mieszkańcy mają jeszcze dalej do przystanku  - </w:t>
      </w:r>
      <w:r w:rsidR="00D52831" w:rsidRPr="00BE6ED5">
        <w:rPr>
          <w:rFonts w:cstheme="minorHAnsi"/>
          <w:sz w:val="23"/>
          <w:szCs w:val="23"/>
        </w:rPr>
        <w:t xml:space="preserve"> przeciętnie </w:t>
      </w:r>
      <w:r w:rsidR="0026109A" w:rsidRPr="00BE6ED5">
        <w:rPr>
          <w:rFonts w:cstheme="minorHAnsi"/>
          <w:b/>
          <w:sz w:val="23"/>
          <w:szCs w:val="23"/>
        </w:rPr>
        <w:t>ponad 2 k</w:t>
      </w:r>
      <w:r w:rsidR="00D52831" w:rsidRPr="00BE6ED5">
        <w:rPr>
          <w:rFonts w:cstheme="minorHAnsi"/>
          <w:b/>
          <w:sz w:val="23"/>
          <w:szCs w:val="23"/>
        </w:rPr>
        <w:t>ilometry</w:t>
      </w:r>
      <w:r w:rsidR="0026109A" w:rsidRPr="00BE6ED5">
        <w:rPr>
          <w:rFonts w:cstheme="minorHAnsi"/>
          <w:sz w:val="23"/>
          <w:szCs w:val="23"/>
        </w:rPr>
        <w:t xml:space="preserve">, a w niektórych ośrodkach </w:t>
      </w:r>
      <w:r w:rsidR="00D52831" w:rsidRPr="00BE6ED5">
        <w:rPr>
          <w:rFonts w:cstheme="minorHAnsi"/>
          <w:sz w:val="23"/>
          <w:szCs w:val="23"/>
        </w:rPr>
        <w:t>średnia wynosi n</w:t>
      </w:r>
      <w:r w:rsidR="0026109A" w:rsidRPr="00BE6ED5">
        <w:rPr>
          <w:rFonts w:cstheme="minorHAnsi"/>
          <w:sz w:val="23"/>
          <w:szCs w:val="23"/>
        </w:rPr>
        <w:t>awet ponad 3 k</w:t>
      </w:r>
      <w:r w:rsidR="00D52831" w:rsidRPr="00BE6ED5">
        <w:rPr>
          <w:rFonts w:cstheme="minorHAnsi"/>
          <w:sz w:val="23"/>
          <w:szCs w:val="23"/>
        </w:rPr>
        <w:t xml:space="preserve">ilometry. </w:t>
      </w:r>
      <w:r w:rsidRPr="00BE6ED5">
        <w:rPr>
          <w:rFonts w:cstheme="minorHAnsi"/>
          <w:b/>
          <w:sz w:val="23"/>
          <w:szCs w:val="23"/>
        </w:rPr>
        <w:t>W najlepszej sytuacji</w:t>
      </w:r>
      <w:r w:rsidRPr="00BE6ED5">
        <w:rPr>
          <w:rFonts w:cstheme="minorHAnsi"/>
          <w:sz w:val="23"/>
          <w:szCs w:val="23"/>
        </w:rPr>
        <w:t xml:space="preserve"> są mieszkańcy gminy </w:t>
      </w:r>
      <w:r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>Juchnowiec Kościelny</w:t>
      </w:r>
      <w:r w:rsidRPr="00BE6ED5">
        <w:rPr>
          <w:rFonts w:cstheme="minorHAnsi"/>
          <w:color w:val="333333"/>
          <w:sz w:val="23"/>
          <w:szCs w:val="23"/>
          <w:shd w:val="clear" w:color="auto" w:fill="FFFFFF"/>
        </w:rPr>
        <w:t xml:space="preserve"> (400 m)</w:t>
      </w:r>
      <w:r w:rsidRPr="00BE6ED5">
        <w:rPr>
          <w:rFonts w:cstheme="minorHAnsi"/>
          <w:sz w:val="23"/>
          <w:szCs w:val="23"/>
          <w:shd w:val="clear" w:color="auto" w:fill="FFFFFF"/>
        </w:rPr>
        <w:t xml:space="preserve">. Jak zwracają uwagę autorzy jest to optymalna odległość, aby komunikacja publiczna była dostępna, a tym samym atrakcyjna dla mieszkańców. Badacze wskazują bowiem, że odległość przystanku autobusowego lub tramwajowego od miejsca zamieszkania nie powinna przekraczać na terenach </w:t>
      </w:r>
      <w:r w:rsidRPr="00BE6ED5">
        <w:rPr>
          <w:rFonts w:cstheme="minorHAnsi"/>
          <w:sz w:val="23"/>
          <w:szCs w:val="23"/>
          <w:shd w:val="clear" w:color="auto" w:fill="FFFFFF"/>
        </w:rPr>
        <w:lastRenderedPageBreak/>
        <w:t xml:space="preserve">podmiejskich 640 metrów, a dla przystanku kolejowego 960 metrów. Taki komfort ma połowa mieszkańców gmin podmiejskich Białegostoku. </w:t>
      </w:r>
      <w:r w:rsidRPr="00BE6ED5">
        <w:rPr>
          <w:rFonts w:cstheme="minorHAnsi"/>
          <w:b/>
          <w:sz w:val="23"/>
          <w:szCs w:val="23"/>
          <w:shd w:val="clear" w:color="auto" w:fill="FFFFFF"/>
        </w:rPr>
        <w:t xml:space="preserve">W </w:t>
      </w:r>
      <w:r w:rsidR="0026109A" w:rsidRPr="00BE6ED5">
        <w:rPr>
          <w:rFonts w:cstheme="minorHAnsi"/>
          <w:b/>
          <w:sz w:val="23"/>
          <w:szCs w:val="23"/>
          <w:shd w:val="clear" w:color="auto" w:fill="FFFFFF"/>
        </w:rPr>
        <w:t>naj</w:t>
      </w:r>
      <w:r w:rsidRPr="00BE6ED5">
        <w:rPr>
          <w:rFonts w:cstheme="minorHAnsi"/>
          <w:b/>
          <w:sz w:val="23"/>
          <w:szCs w:val="23"/>
          <w:shd w:val="clear" w:color="auto" w:fill="FFFFFF"/>
        </w:rPr>
        <w:t xml:space="preserve">gorszej sytuacji są mieszkańcy gminy </w:t>
      </w:r>
      <w:r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>Czarna Białostocka</w:t>
      </w:r>
      <w:r w:rsidRPr="00BE6ED5">
        <w:rPr>
          <w:rFonts w:cstheme="minorHAnsi"/>
          <w:sz w:val="23"/>
          <w:szCs w:val="23"/>
          <w:shd w:val="clear" w:color="auto" w:fill="FFFFFF"/>
        </w:rPr>
        <w:t xml:space="preserve"> (</w:t>
      </w:r>
      <w:r w:rsidRPr="00BE6ED5">
        <w:rPr>
          <w:rFonts w:cstheme="minorHAnsi"/>
          <w:color w:val="333333"/>
          <w:sz w:val="23"/>
          <w:szCs w:val="23"/>
          <w:shd w:val="clear" w:color="auto" w:fill="FFFFFF"/>
        </w:rPr>
        <w:t>4 099 m</w:t>
      </w:r>
      <w:r w:rsidRPr="00BE6ED5">
        <w:rPr>
          <w:rFonts w:cstheme="minorHAnsi"/>
          <w:sz w:val="23"/>
          <w:szCs w:val="23"/>
          <w:shd w:val="clear" w:color="auto" w:fill="FFFFFF"/>
        </w:rPr>
        <w:t>)</w:t>
      </w:r>
      <w:r w:rsidR="0026109A" w:rsidRPr="00BE6ED5">
        <w:rPr>
          <w:rFonts w:cstheme="minorHAnsi"/>
          <w:sz w:val="23"/>
          <w:szCs w:val="23"/>
          <w:shd w:val="clear" w:color="auto" w:fill="FFFFFF"/>
        </w:rPr>
        <w:t>.</w:t>
      </w:r>
    </w:p>
    <w:p w:rsidR="00D52831" w:rsidRPr="00BE6ED5" w:rsidRDefault="00D52831" w:rsidP="00D52831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BE6ED5">
        <w:rPr>
          <w:rFonts w:cstheme="minorHAnsi"/>
          <w:b/>
          <w:color w:val="ED7D31" w:themeColor="accent2"/>
          <w:sz w:val="23"/>
          <w:szCs w:val="23"/>
        </w:rPr>
        <w:t xml:space="preserve">Częstotliwość komunikacji publicznej </w:t>
      </w:r>
    </w:p>
    <w:p w:rsidR="006938BC" w:rsidRPr="00BE6ED5" w:rsidRDefault="00D52831" w:rsidP="006938BC">
      <w:pPr>
        <w:pStyle w:val="Akapitzlist"/>
        <w:jc w:val="both"/>
        <w:rPr>
          <w:rFonts w:cstheme="minorHAnsi"/>
          <w:color w:val="262626"/>
          <w:sz w:val="23"/>
          <w:szCs w:val="23"/>
          <w:shd w:val="clear" w:color="auto" w:fill="FFFFFF"/>
        </w:rPr>
      </w:pPr>
      <w:r w:rsidRPr="00DF1094">
        <w:rPr>
          <w:rFonts w:cstheme="minorHAnsi"/>
          <w:b/>
          <w:sz w:val="23"/>
          <w:szCs w:val="23"/>
        </w:rPr>
        <w:t>W dniu roboczym w przeliczeniu na tysiąc mieszkańców jest 10,4 par połączeń z i do Białegostok</w:t>
      </w:r>
      <w:r w:rsidRPr="00BE6ED5">
        <w:rPr>
          <w:rFonts w:cstheme="minorHAnsi"/>
          <w:sz w:val="23"/>
          <w:szCs w:val="23"/>
        </w:rPr>
        <w:t xml:space="preserve">u. Średnia dla wszystkich obszarów funkcjonalnych wynosi natomiast 7,3 par połączeń dziennie na tysiąc mieszkańców, co i tak, jak zwracają uwagę nie jest wystarczającą liczbą, aby był transport publiczny mógł stanowić realną alternatywę dla samochodu. </w:t>
      </w:r>
      <w:r w:rsidR="0046582C" w:rsidRPr="00DF1094">
        <w:rPr>
          <w:rFonts w:cstheme="minorHAnsi"/>
          <w:b/>
          <w:sz w:val="23"/>
          <w:szCs w:val="23"/>
        </w:rPr>
        <w:t>Dlatego warto docenić w tym aspekcie transport publiczny w białostockim MOF-ie, który jest trzecim</w:t>
      </w:r>
      <w:r w:rsidR="00DF1094">
        <w:rPr>
          <w:rFonts w:cstheme="minorHAnsi"/>
          <w:b/>
          <w:sz w:val="23"/>
          <w:szCs w:val="23"/>
        </w:rPr>
        <w:t xml:space="preserve"> ośrodkiem</w:t>
      </w:r>
      <w:r w:rsidR="0046582C" w:rsidRPr="00DF1094">
        <w:rPr>
          <w:rFonts w:cstheme="minorHAnsi"/>
          <w:b/>
          <w:sz w:val="23"/>
          <w:szCs w:val="23"/>
        </w:rPr>
        <w:t xml:space="preserve">, </w:t>
      </w:r>
      <w:r w:rsidR="0046582C" w:rsidRPr="00DF1094">
        <w:rPr>
          <w:rFonts w:cstheme="minorHAnsi"/>
          <w:sz w:val="23"/>
          <w:szCs w:val="23"/>
        </w:rPr>
        <w:t>po konurbacji górnośląskiej i rzeszowskim MOF-ie,</w:t>
      </w:r>
      <w:r w:rsidR="0046582C" w:rsidRPr="00DF1094">
        <w:rPr>
          <w:rFonts w:cstheme="minorHAnsi"/>
          <w:b/>
          <w:sz w:val="23"/>
          <w:szCs w:val="23"/>
        </w:rPr>
        <w:t xml:space="preserve">  gdzie komunikacja publiczna kursuje najczęściej</w:t>
      </w:r>
      <w:r w:rsidR="0046582C" w:rsidRPr="00BE6ED5">
        <w:rPr>
          <w:rFonts w:cstheme="minorHAnsi"/>
          <w:sz w:val="23"/>
          <w:szCs w:val="23"/>
        </w:rPr>
        <w:t xml:space="preserve">.  </w:t>
      </w:r>
      <w:r w:rsidR="006938BC" w:rsidRPr="00BE6ED5">
        <w:rPr>
          <w:rFonts w:cstheme="minorHAnsi"/>
          <w:sz w:val="23"/>
          <w:szCs w:val="23"/>
        </w:rPr>
        <w:t xml:space="preserve">Gdzie konkretnie? Najwięcej połączeń </w:t>
      </w:r>
      <w:r w:rsidR="006938BC" w:rsidRPr="00BE6ED5">
        <w:rPr>
          <w:rFonts w:cstheme="minorHAnsi"/>
          <w:sz w:val="23"/>
          <w:szCs w:val="23"/>
        </w:rPr>
        <w:br/>
        <w:t xml:space="preserve">w przeliczeniu na tysiąc mieszkańców jest w </w:t>
      </w:r>
      <w:r w:rsidR="006938BC" w:rsidRPr="00BE6ED5">
        <w:rPr>
          <w:rFonts w:cstheme="minorHAnsi"/>
          <w:b/>
          <w:sz w:val="23"/>
          <w:szCs w:val="23"/>
        </w:rPr>
        <w:t>gminie</w:t>
      </w:r>
      <w:r w:rsidR="006938BC" w:rsidRPr="00BE6ED5">
        <w:rPr>
          <w:rFonts w:cstheme="minorHAnsi"/>
          <w:sz w:val="23"/>
          <w:szCs w:val="23"/>
        </w:rPr>
        <w:t xml:space="preserve"> </w:t>
      </w:r>
      <w:r w:rsidR="006938BC" w:rsidRPr="00BE6ED5">
        <w:rPr>
          <w:rFonts w:cstheme="minorHAnsi"/>
          <w:b/>
          <w:sz w:val="23"/>
          <w:szCs w:val="23"/>
        </w:rPr>
        <w:t>Dobrzyniewo Duże</w:t>
      </w:r>
      <w:r w:rsidR="006938BC" w:rsidRPr="00BE6ED5">
        <w:rPr>
          <w:rFonts w:cstheme="minorHAnsi"/>
          <w:sz w:val="23"/>
          <w:szCs w:val="23"/>
        </w:rPr>
        <w:t xml:space="preserve"> i </w:t>
      </w:r>
      <w:r w:rsidR="006938BC" w:rsidRPr="00BE6ED5">
        <w:rPr>
          <w:rFonts w:cstheme="minorHAnsi"/>
          <w:b/>
          <w:sz w:val="23"/>
          <w:szCs w:val="23"/>
        </w:rPr>
        <w:t xml:space="preserve">gminie </w:t>
      </w:r>
      <w:r w:rsidR="006938BC" w:rsidRPr="00BE6ED5">
        <w:rPr>
          <w:rFonts w:cstheme="minorHAnsi"/>
          <w:b/>
          <w:color w:val="333333"/>
          <w:sz w:val="23"/>
          <w:szCs w:val="23"/>
          <w:shd w:val="clear" w:color="auto" w:fill="FFFFFF"/>
        </w:rPr>
        <w:t>Wasilków</w:t>
      </w:r>
      <w:r w:rsidR="006938BC" w:rsidRPr="00BE6ED5">
        <w:rPr>
          <w:rFonts w:cstheme="minorHAnsi"/>
          <w:color w:val="333333"/>
          <w:sz w:val="23"/>
          <w:szCs w:val="23"/>
          <w:shd w:val="clear" w:color="auto" w:fill="FFFFFF"/>
        </w:rPr>
        <w:t xml:space="preserve">. </w:t>
      </w:r>
      <w:r w:rsidR="006938BC" w:rsidRPr="00BE6ED5">
        <w:rPr>
          <w:rFonts w:cstheme="minorHAnsi"/>
          <w:color w:val="262626"/>
          <w:sz w:val="23"/>
          <w:szCs w:val="23"/>
          <w:shd w:val="clear" w:color="auto" w:fill="FFFFFF"/>
        </w:rPr>
        <w:t>To, co zasługuje na dodatkową uwagę to fakt, że ilość połączeń jest podobna we wszystkich gminach strefy zewnętrznej MOF-u, co jest rzadkością na tle innych ośrodków.</w:t>
      </w:r>
    </w:p>
    <w:p w:rsidR="00BE6ED5" w:rsidRPr="00BE6ED5" w:rsidRDefault="00BE6ED5" w:rsidP="00BE6ED5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BE6ED5">
        <w:rPr>
          <w:rFonts w:cstheme="minorHAnsi"/>
          <w:b/>
          <w:color w:val="ED7D31" w:themeColor="accent2"/>
          <w:sz w:val="23"/>
          <w:szCs w:val="23"/>
        </w:rPr>
        <w:t>Zintegrowane Inwestycje Terytorialne</w:t>
      </w:r>
    </w:p>
    <w:p w:rsidR="00BE6ED5" w:rsidRPr="00BE6ED5" w:rsidRDefault="00BE6ED5" w:rsidP="00BE6ED5">
      <w:pPr>
        <w:pStyle w:val="Akapitzlist"/>
        <w:jc w:val="both"/>
        <w:rPr>
          <w:rFonts w:cstheme="minorHAnsi"/>
          <w:sz w:val="23"/>
          <w:szCs w:val="23"/>
        </w:rPr>
      </w:pPr>
      <w:r w:rsidRPr="00BE6ED5">
        <w:rPr>
          <w:rFonts w:cstheme="minorHAnsi"/>
          <w:sz w:val="23"/>
          <w:szCs w:val="23"/>
        </w:rPr>
        <w:t xml:space="preserve">Zintegrowane Inwestycje Terytorialne to instrument, który w założeniu ma stymulować współpracę w obszarach funkcjonalnych. Duży wpływ na to, czy to się uda ma charakter projektów. Analiza wskazuje, że zaproponowane projekty w umiarkowany sposób będą mogły przynieść korzyści większej liczbie gmin. </w:t>
      </w:r>
    </w:p>
    <w:p w:rsidR="00D43EC2" w:rsidRPr="00BE6ED5" w:rsidRDefault="00BE6ED5" w:rsidP="00BE6ED5">
      <w:pPr>
        <w:pStyle w:val="Akapitzlist"/>
        <w:jc w:val="both"/>
        <w:rPr>
          <w:rFonts w:cstheme="minorHAnsi"/>
          <w:sz w:val="23"/>
          <w:szCs w:val="23"/>
        </w:rPr>
      </w:pPr>
      <w:r w:rsidRPr="00BE6ED5">
        <w:rPr>
          <w:rFonts w:cstheme="minorHAnsi"/>
          <w:sz w:val="23"/>
          <w:szCs w:val="23"/>
        </w:rPr>
        <w:t xml:space="preserve">Jeżeli zestawi </w:t>
      </w:r>
      <w:r w:rsidRPr="00BE6ED5">
        <w:rPr>
          <w:rFonts w:cstheme="minorHAnsi"/>
          <w:color w:val="1A1A18"/>
          <w:sz w:val="23"/>
          <w:szCs w:val="23"/>
        </w:rPr>
        <w:t xml:space="preserve">budżety przeznaczone na realizację projektów zaproponowanych </w:t>
      </w:r>
      <w:r w:rsidRPr="00BE6ED5">
        <w:rPr>
          <w:rFonts w:cstheme="minorHAnsi"/>
          <w:color w:val="1A1A18"/>
          <w:sz w:val="23"/>
          <w:szCs w:val="23"/>
        </w:rPr>
        <w:br/>
        <w:t xml:space="preserve">w strategiach ZIT i przeliczy się je na potencjał ludnościowy każdego MOF-u, to można zauważyć że w ośrodku białostockim, , zaraz po rzeszowskim i bydgostko-toruńskim </w:t>
      </w:r>
      <w:r w:rsidR="00EF1F3C">
        <w:rPr>
          <w:rFonts w:cstheme="minorHAnsi"/>
          <w:color w:val="1A1A18"/>
          <w:sz w:val="23"/>
          <w:szCs w:val="23"/>
        </w:rPr>
        <w:br/>
      </w:r>
      <w:r w:rsidRPr="00BE6ED5">
        <w:rPr>
          <w:rFonts w:cstheme="minorHAnsi"/>
          <w:color w:val="1A1A18"/>
          <w:sz w:val="23"/>
          <w:szCs w:val="23"/>
        </w:rPr>
        <w:t>MOF-ie, na jednego mieszkańca przypada najwięcej pieniędzy - 11,0 tys. zł.</w:t>
      </w:r>
    </w:p>
    <w:p w:rsidR="007C4068" w:rsidRPr="007C4068" w:rsidRDefault="007C4068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821586" w:rsidRDefault="007D61B3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  <w:r w:rsidRPr="00E63C2C">
        <w:rPr>
          <w:rFonts w:cstheme="minorHAnsi"/>
          <w:b/>
          <w:sz w:val="23"/>
          <w:szCs w:val="23"/>
        </w:rPr>
        <w:t>Kluczowe wnioski</w:t>
      </w:r>
      <w:r w:rsidR="00821586" w:rsidRPr="00E63C2C">
        <w:rPr>
          <w:rFonts w:cstheme="minorHAnsi"/>
          <w:b/>
          <w:sz w:val="23"/>
          <w:szCs w:val="23"/>
        </w:rPr>
        <w:t xml:space="preserve"> dla wszystkich ośrodków w Polsce</w:t>
      </w:r>
    </w:p>
    <w:p w:rsidR="00C82DBA" w:rsidRPr="00C82DBA" w:rsidRDefault="00C82DBA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</w:p>
    <w:p w:rsidR="001453D7" w:rsidRPr="00E63C2C" w:rsidRDefault="004106E4" w:rsidP="00C82DBA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E63C2C">
        <w:rPr>
          <w:rFonts w:cstheme="minorHAnsi"/>
          <w:b/>
          <w:color w:val="ED7D31"/>
          <w:sz w:val="23"/>
          <w:szCs w:val="23"/>
        </w:rPr>
        <w:t>e miejskimi obszarami f</w:t>
      </w:r>
      <w:r w:rsidRPr="00E63C2C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 w:rsidRPr="00E63C2C">
        <w:rPr>
          <w:rFonts w:cstheme="minorHAnsi"/>
          <w:b/>
          <w:color w:val="ED7D31"/>
          <w:sz w:val="23"/>
          <w:szCs w:val="23"/>
        </w:rPr>
        <w:br/>
      </w:r>
      <w:r w:rsidRPr="00E63C2C">
        <w:rPr>
          <w:rFonts w:cstheme="minorHAnsi"/>
          <w:b/>
          <w:color w:val="ED7D31"/>
          <w:sz w:val="23"/>
          <w:szCs w:val="23"/>
        </w:rPr>
        <w:t>w Polsce udać.</w:t>
      </w:r>
      <w:r w:rsidRPr="00E63C2C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E63C2C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Pr="00E63C2C">
        <w:rPr>
          <w:rFonts w:cstheme="minorHAnsi"/>
          <w:b/>
          <w:sz w:val="23"/>
          <w:szCs w:val="23"/>
        </w:rPr>
        <w:t>Poznania</w:t>
      </w:r>
      <w:r w:rsidRPr="00E63C2C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 w:rsidRPr="00E63C2C">
        <w:rPr>
          <w:rFonts w:cstheme="minorHAnsi"/>
          <w:sz w:val="23"/>
          <w:szCs w:val="23"/>
        </w:rPr>
        <w:br/>
      </w:r>
      <w:r w:rsidRPr="00E63C2C">
        <w:rPr>
          <w:rFonts w:cstheme="minorHAnsi"/>
          <w:sz w:val="23"/>
          <w:szCs w:val="23"/>
        </w:rPr>
        <w:t>w ramach Stowarzyszenia Metropolia Poznań (SMP);</w:t>
      </w:r>
      <w:r w:rsidR="008F3B54" w:rsidRPr="00E63C2C">
        <w:rPr>
          <w:rFonts w:cstheme="minorHAnsi"/>
          <w:sz w:val="23"/>
          <w:szCs w:val="23"/>
        </w:rPr>
        <w:t xml:space="preserve"> z</w:t>
      </w:r>
      <w:r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b/>
          <w:sz w:val="23"/>
          <w:szCs w:val="23"/>
        </w:rPr>
        <w:t>Szczecina</w:t>
      </w:r>
      <w:r w:rsidRPr="00E63C2C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E63C2C">
        <w:rPr>
          <w:rFonts w:cstheme="minorHAnsi"/>
          <w:sz w:val="23"/>
          <w:szCs w:val="23"/>
        </w:rPr>
        <w:t>y</w:t>
      </w:r>
      <w:r w:rsidRPr="00E63C2C">
        <w:rPr>
          <w:rFonts w:cstheme="minorHAnsi"/>
          <w:sz w:val="23"/>
          <w:szCs w:val="23"/>
        </w:rPr>
        <w:t xml:space="preserve"> położon</w:t>
      </w:r>
      <w:r w:rsidR="008F3B54" w:rsidRPr="00E63C2C">
        <w:rPr>
          <w:rFonts w:cstheme="minorHAnsi"/>
          <w:sz w:val="23"/>
          <w:szCs w:val="23"/>
        </w:rPr>
        <w:t>e</w:t>
      </w:r>
      <w:r w:rsidRPr="00E63C2C">
        <w:rPr>
          <w:rFonts w:cstheme="minorHAnsi"/>
          <w:sz w:val="23"/>
          <w:szCs w:val="23"/>
        </w:rPr>
        <w:t xml:space="preserve"> w obszarze intensywnych powiązań funkcjonalnych;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="008F3B54" w:rsidRPr="00E63C2C">
        <w:rPr>
          <w:rFonts w:cstheme="minorHAnsi"/>
          <w:b/>
          <w:sz w:val="23"/>
          <w:szCs w:val="23"/>
        </w:rPr>
        <w:t>Trójmiasta</w:t>
      </w:r>
      <w:r w:rsidR="008F3B54" w:rsidRPr="00E63C2C">
        <w:rPr>
          <w:rFonts w:cstheme="minorHAnsi"/>
          <w:sz w:val="23"/>
          <w:szCs w:val="23"/>
        </w:rPr>
        <w:t>, któremu udało się wyjść ponad konkurencję dwóch miast - Gdańska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="008F3B54" w:rsidRPr="00E63C2C">
        <w:rPr>
          <w:rFonts w:cstheme="minorHAnsi"/>
          <w:sz w:val="23"/>
          <w:szCs w:val="23"/>
        </w:rPr>
        <w:instrText xml:space="preserve"> XE "Gdańsk"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="008F3B54" w:rsidRPr="00E63C2C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E63C2C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E63C2C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E63C2C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E63C2C">
        <w:rPr>
          <w:rFonts w:cstheme="minorHAnsi"/>
          <w:sz w:val="23"/>
          <w:szCs w:val="23"/>
        </w:rPr>
        <w:t xml:space="preserve"> </w:t>
      </w:r>
      <w:r w:rsidR="00B60DB1" w:rsidRPr="00E63C2C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E63C2C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lastRenderedPageBreak/>
        <w:t xml:space="preserve">Silne i duże ośrodki nie chcą się integrować, a mniejsze wybierają drogę na skróty wchłaniając zamiast współpracować z okolicznymi gminami. </w:t>
      </w:r>
    </w:p>
    <w:p w:rsidR="007D61B3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Dwa największe</w:t>
      </w:r>
      <w:r w:rsidRPr="00E63C2C">
        <w:rPr>
          <w:rFonts w:cstheme="minorHAnsi"/>
          <w:b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 xml:space="preserve">ośrodki metropolitalne, tj. </w:t>
      </w:r>
      <w:r w:rsidRPr="00E63C2C">
        <w:rPr>
          <w:rFonts w:cstheme="minorHAnsi"/>
          <w:b/>
          <w:sz w:val="23"/>
          <w:szCs w:val="23"/>
        </w:rPr>
        <w:t>Warszawa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Warszawy"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i </w:t>
      </w:r>
      <w:r w:rsidRPr="00E63C2C">
        <w:rPr>
          <w:rFonts w:cstheme="minorHAnsi"/>
          <w:b/>
          <w:sz w:val="23"/>
          <w:szCs w:val="23"/>
        </w:rPr>
        <w:t>Kraków</w:t>
      </w:r>
      <w:r w:rsidRPr="00E63C2C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E63C2C">
        <w:rPr>
          <w:rFonts w:cstheme="minorHAnsi"/>
          <w:b/>
          <w:sz w:val="23"/>
          <w:szCs w:val="23"/>
        </w:rPr>
        <w:t>Rzeszów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"Rzeszów"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, </w:t>
      </w:r>
      <w:r w:rsidRPr="00E63C2C">
        <w:rPr>
          <w:rFonts w:cstheme="minorHAnsi"/>
          <w:b/>
          <w:sz w:val="23"/>
          <w:szCs w:val="23"/>
        </w:rPr>
        <w:t>Zielona Góra</w:t>
      </w:r>
      <w:r w:rsidR="00B4376B" w:rsidRPr="00E63C2C">
        <w:rPr>
          <w:rFonts w:cstheme="minorHAnsi"/>
          <w:b/>
          <w:sz w:val="23"/>
          <w:szCs w:val="23"/>
        </w:rPr>
        <w:fldChar w:fldCharType="begin"/>
      </w:r>
      <w:r w:rsidRPr="00E63C2C">
        <w:rPr>
          <w:rFonts w:cstheme="minorHAnsi"/>
          <w:b/>
          <w:sz w:val="23"/>
          <w:szCs w:val="23"/>
        </w:rPr>
        <w:instrText xml:space="preserve"> XE "Zielona Góra" </w:instrText>
      </w:r>
      <w:r w:rsidR="00B4376B" w:rsidRPr="00E63C2C">
        <w:rPr>
          <w:rFonts w:cstheme="minorHAnsi"/>
          <w:b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czy </w:t>
      </w:r>
      <w:r w:rsidRPr="00E63C2C">
        <w:rPr>
          <w:rFonts w:cstheme="minorHAnsi"/>
          <w:b/>
          <w:sz w:val="23"/>
          <w:szCs w:val="23"/>
        </w:rPr>
        <w:t>Opole</w:t>
      </w:r>
      <w:r w:rsidRPr="00E63C2C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Krakowa" </w:instrText>
      </w:r>
      <w:r w:rsidR="00B4376B" w:rsidRPr="00E63C2C">
        <w:rPr>
          <w:rFonts w:cstheme="minorHAnsi"/>
          <w:sz w:val="23"/>
          <w:szCs w:val="23"/>
        </w:rPr>
        <w:fldChar w:fldCharType="end"/>
      </w:r>
    </w:p>
    <w:p w:rsidR="001131E1" w:rsidRPr="00E63C2C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E63C2C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Brak także systemowych rozwiązań w zakresie gromadzenia danych o współpracy międzysamorządowej – </w:t>
      </w:r>
      <w:r w:rsidR="00052FAF"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E63C2C">
        <w:rPr>
          <w:rFonts w:cstheme="minorHAnsi"/>
          <w:sz w:val="23"/>
          <w:szCs w:val="23"/>
        </w:rPr>
        <w:t>. B</w:t>
      </w:r>
      <w:r w:rsidRPr="00E63C2C">
        <w:rPr>
          <w:rFonts w:cstheme="minorHAnsi"/>
          <w:sz w:val="23"/>
          <w:szCs w:val="23"/>
        </w:rPr>
        <w:t>rak też właściw</w:t>
      </w:r>
      <w:r w:rsidR="004668E9" w:rsidRPr="00E63C2C">
        <w:rPr>
          <w:rFonts w:cstheme="minorHAnsi"/>
          <w:sz w:val="23"/>
          <w:szCs w:val="23"/>
        </w:rPr>
        <w:t xml:space="preserve">ego opisu atrybutów współpracy, </w:t>
      </w:r>
      <w:r w:rsidRPr="00E63C2C">
        <w:rPr>
          <w:rFonts w:cstheme="minorHAnsi"/>
          <w:sz w:val="23"/>
          <w:szCs w:val="23"/>
        </w:rPr>
        <w:t>np. ujednoliconych kategorii odnoszących się do za</w:t>
      </w:r>
      <w:r w:rsidR="004668E9" w:rsidRPr="00E63C2C">
        <w:rPr>
          <w:rFonts w:cstheme="minorHAnsi"/>
          <w:sz w:val="23"/>
          <w:szCs w:val="23"/>
        </w:rPr>
        <w:t>kresu przedmiotowego współpracy</w:t>
      </w:r>
      <w:r w:rsidRPr="00E63C2C">
        <w:rPr>
          <w:rFonts w:cstheme="minorHAnsi"/>
          <w:sz w:val="23"/>
          <w:szCs w:val="23"/>
        </w:rPr>
        <w:t>.</w:t>
      </w:r>
    </w:p>
    <w:p w:rsidR="001131E1" w:rsidRPr="00E63C2C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Transport w MOF-ach pozostawia wiele do życzenia. Obecnie rzadko kiedy stanowi atrakcyjną alternatywę dla podróży samochodem. </w:t>
      </w:r>
    </w:p>
    <w:p w:rsidR="007D61B3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E63C2C">
        <w:rPr>
          <w:rFonts w:cstheme="minorHAnsi"/>
          <w:sz w:val="23"/>
          <w:szCs w:val="23"/>
        </w:rPr>
        <w:t>,</w:t>
      </w:r>
      <w:r w:rsidR="00554021" w:rsidRPr="00E63C2C">
        <w:rPr>
          <w:rFonts w:cstheme="minorHAnsi"/>
          <w:sz w:val="23"/>
          <w:szCs w:val="23"/>
        </w:rPr>
        <w:t xml:space="preserve"> to</w:t>
      </w:r>
      <w:r w:rsidRPr="00E63C2C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C82DBA">
        <w:rPr>
          <w:rFonts w:cstheme="minorHAnsi"/>
          <w:sz w:val="23"/>
          <w:szCs w:val="23"/>
        </w:rPr>
        <w:br/>
      </w:r>
      <w:r w:rsidR="002750D4" w:rsidRPr="00E63C2C">
        <w:rPr>
          <w:rFonts w:cstheme="minorHAnsi"/>
          <w:sz w:val="23"/>
          <w:szCs w:val="23"/>
        </w:rPr>
        <w:t xml:space="preserve">W przeliczeniu na 1000 mieszkańców w MOF-ach jest średnio </w:t>
      </w:r>
      <w:r w:rsidR="00554021" w:rsidRPr="00E63C2C">
        <w:rPr>
          <w:rFonts w:cstheme="minorHAnsi"/>
          <w:b/>
          <w:sz w:val="23"/>
          <w:szCs w:val="23"/>
        </w:rPr>
        <w:t>7 kursów dziennie</w:t>
      </w:r>
      <w:r w:rsidR="00554021" w:rsidRPr="00E63C2C">
        <w:rPr>
          <w:rFonts w:cstheme="minorHAnsi"/>
          <w:sz w:val="23"/>
          <w:szCs w:val="23"/>
        </w:rPr>
        <w:t xml:space="preserve"> komunikacj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publiczn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z i do </w:t>
      </w:r>
      <w:r w:rsidR="008D14CD" w:rsidRPr="00E63C2C">
        <w:rPr>
          <w:rFonts w:cstheme="minorHAnsi"/>
          <w:sz w:val="23"/>
          <w:szCs w:val="23"/>
        </w:rPr>
        <w:t>miasta centralnego</w:t>
      </w:r>
      <w:r w:rsidR="00554021" w:rsidRPr="00E63C2C">
        <w:rPr>
          <w:rFonts w:cstheme="minorHAnsi"/>
          <w:sz w:val="23"/>
          <w:szCs w:val="23"/>
        </w:rPr>
        <w:t xml:space="preserve">. Nie dość, że rzadko to jeszcze w wielu </w:t>
      </w:r>
      <w:r w:rsidR="00B60DB1" w:rsidRPr="00E63C2C">
        <w:rPr>
          <w:rFonts w:cstheme="minorHAnsi"/>
          <w:sz w:val="23"/>
          <w:szCs w:val="23"/>
        </w:rPr>
        <w:t>MOF-ach</w:t>
      </w:r>
      <w:r w:rsidR="00554021" w:rsidRPr="00E63C2C">
        <w:rPr>
          <w:rFonts w:cstheme="minorHAnsi"/>
          <w:sz w:val="23"/>
          <w:szCs w:val="23"/>
        </w:rPr>
        <w:t xml:space="preserve"> daleko</w:t>
      </w:r>
      <w:r w:rsidR="009230C4" w:rsidRPr="00E63C2C">
        <w:rPr>
          <w:rFonts w:cstheme="minorHAnsi"/>
          <w:sz w:val="23"/>
          <w:szCs w:val="23"/>
        </w:rPr>
        <w:t xml:space="preserve"> jest do przystanku</w:t>
      </w:r>
      <w:r w:rsidR="00554021" w:rsidRPr="00E63C2C">
        <w:rPr>
          <w:rFonts w:cstheme="minorHAnsi"/>
          <w:sz w:val="23"/>
          <w:szCs w:val="23"/>
        </w:rPr>
        <w:t xml:space="preserve">. </w:t>
      </w:r>
      <w:r w:rsidR="00554021" w:rsidRPr="00E63C2C">
        <w:rPr>
          <w:rFonts w:cstheme="minorHAnsi"/>
          <w:b/>
          <w:sz w:val="23"/>
          <w:szCs w:val="23"/>
        </w:rPr>
        <w:t>Średnia odległość</w:t>
      </w:r>
      <w:r w:rsidR="00B779A4" w:rsidRPr="00E63C2C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E63C2C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E63C2C">
        <w:rPr>
          <w:rFonts w:cstheme="minorHAnsi"/>
          <w:b/>
          <w:sz w:val="23"/>
          <w:szCs w:val="23"/>
        </w:rPr>
        <w:t>wynosi ponad 2 km</w:t>
      </w:r>
      <w:r w:rsidR="00554021" w:rsidRPr="00E63C2C">
        <w:rPr>
          <w:rFonts w:cstheme="minorHAnsi"/>
          <w:sz w:val="23"/>
          <w:szCs w:val="23"/>
        </w:rPr>
        <w:t xml:space="preserve">, a w niektórych ośrodkach jest to nawet ponad 3 km. </w:t>
      </w:r>
      <w:r w:rsidR="008D14CD" w:rsidRPr="00E63C2C">
        <w:rPr>
          <w:rFonts w:cstheme="minorHAnsi"/>
          <w:sz w:val="23"/>
          <w:szCs w:val="23"/>
        </w:rPr>
        <w:t>Brakuje również</w:t>
      </w:r>
      <w:r w:rsidRPr="00E63C2C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D918FD" w:rsidRPr="00E63C2C" w:rsidRDefault="00D918FD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C16B5" w:rsidRPr="0060707E" w:rsidRDefault="000C16B5" w:rsidP="007D61B3">
      <w:pPr>
        <w:rPr>
          <w:rFonts w:cstheme="minorHAnsi"/>
          <w:sz w:val="23"/>
          <w:szCs w:val="23"/>
        </w:rPr>
      </w:pPr>
    </w:p>
    <w:p w:rsidR="0053697E" w:rsidRPr="0060707E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Raporty </w:t>
      </w:r>
    </w:p>
    <w:p w:rsidR="0053697E" w:rsidRPr="0060707E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Rozwój </w:t>
      </w:r>
      <w:r w:rsidR="00BB516F" w:rsidRPr="0060707E">
        <w:rPr>
          <w:rFonts w:cstheme="minorHAnsi"/>
          <w:i/>
          <w:sz w:val="23"/>
          <w:szCs w:val="23"/>
        </w:rPr>
        <w:t>g</w:t>
      </w:r>
      <w:r w:rsidRPr="0060707E">
        <w:rPr>
          <w:rFonts w:cstheme="minorHAnsi"/>
          <w:i/>
          <w:sz w:val="23"/>
          <w:szCs w:val="23"/>
        </w:rPr>
        <w:t xml:space="preserve">ospodarczy 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60707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230C4" w:rsidRDefault="00B4376B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1471" w:rsidRPr="00EF7028" w:rsidTr="001F7A3A">
        <w:tc>
          <w:tcPr>
            <w:tcW w:w="4928" w:type="dxa"/>
          </w:tcPr>
          <w:p w:rsidR="00461471" w:rsidRPr="00EF7028" w:rsidRDefault="00461471" w:rsidP="001F7A3A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461471" w:rsidRPr="00EF7028" w:rsidTr="001F7A3A">
        <w:trPr>
          <w:trHeight w:val="506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EF7028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461471" w:rsidRPr="00EF7028" w:rsidRDefault="00461471" w:rsidP="001F7A3A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461471" w:rsidRPr="00EF1F3C" w:rsidTr="001F7A3A">
        <w:trPr>
          <w:trHeight w:val="672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tel.: (+48) 12 634 29 53, wew. 21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461471" w:rsidRDefault="0039467C">
      <w:pPr>
        <w:rPr>
          <w:rFonts w:asciiTheme="majorHAnsi" w:hAnsiTheme="majorHAnsi" w:cstheme="majorHAnsi"/>
          <w:lang w:val="en-US"/>
        </w:rPr>
      </w:pPr>
    </w:p>
    <w:sectPr w:rsidR="0039467C" w:rsidRPr="00461471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E8" w:rsidRDefault="003171E8" w:rsidP="00B5763F">
      <w:pPr>
        <w:spacing w:after="0" w:line="240" w:lineRule="auto"/>
      </w:pPr>
      <w:r>
        <w:separator/>
      </w:r>
    </w:p>
  </w:endnote>
  <w:endnote w:type="continuationSeparator" w:id="0">
    <w:p w:rsidR="003171E8" w:rsidRDefault="003171E8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Bold">
    <w:altName w:val="Cambria"/>
    <w:panose1 w:val="00000000000000000000"/>
    <w:charset w:val="00"/>
    <w:family w:val="roman"/>
    <w:notTrueType/>
    <w:pitch w:val="default"/>
  </w:font>
  <w:font w:name="Dosis-Bold">
    <w:altName w:val="Times New Roman"/>
    <w:panose1 w:val="00000000000000000000"/>
    <w:charset w:val="00"/>
    <w:family w:val="roman"/>
    <w:notTrueType/>
    <w:pitch w:val="default"/>
  </w:font>
  <w:font w:name="Dosis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E8" w:rsidRDefault="003171E8" w:rsidP="00B5763F">
      <w:pPr>
        <w:spacing w:after="0" w:line="240" w:lineRule="auto"/>
      </w:pPr>
      <w:r>
        <w:separator/>
      </w:r>
    </w:p>
  </w:footnote>
  <w:footnote w:type="continuationSeparator" w:id="0">
    <w:p w:rsidR="003171E8" w:rsidRDefault="003171E8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78E"/>
    <w:multiLevelType w:val="hybridMultilevel"/>
    <w:tmpl w:val="C43A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51D3"/>
    <w:multiLevelType w:val="hybridMultilevel"/>
    <w:tmpl w:val="B8D66410"/>
    <w:lvl w:ilvl="0" w:tplc="2152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2F4F"/>
    <w:multiLevelType w:val="hybridMultilevel"/>
    <w:tmpl w:val="11E28F38"/>
    <w:lvl w:ilvl="0" w:tplc="E35E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7980"/>
    <w:rsid w:val="00037CC8"/>
    <w:rsid w:val="00052FAF"/>
    <w:rsid w:val="00086925"/>
    <w:rsid w:val="00094F08"/>
    <w:rsid w:val="000B56F2"/>
    <w:rsid w:val="000C16B5"/>
    <w:rsid w:val="000C3BA8"/>
    <w:rsid w:val="000C64C2"/>
    <w:rsid w:val="000F0BAA"/>
    <w:rsid w:val="000F12DD"/>
    <w:rsid w:val="001131E1"/>
    <w:rsid w:val="00113EDE"/>
    <w:rsid w:val="001145CD"/>
    <w:rsid w:val="00140EB7"/>
    <w:rsid w:val="001453D7"/>
    <w:rsid w:val="00160916"/>
    <w:rsid w:val="00161EB4"/>
    <w:rsid w:val="00164856"/>
    <w:rsid w:val="00190D29"/>
    <w:rsid w:val="001F55A8"/>
    <w:rsid w:val="001F7A3A"/>
    <w:rsid w:val="0023453C"/>
    <w:rsid w:val="00245E62"/>
    <w:rsid w:val="00254B03"/>
    <w:rsid w:val="0026109A"/>
    <w:rsid w:val="002750D4"/>
    <w:rsid w:val="00285961"/>
    <w:rsid w:val="00292209"/>
    <w:rsid w:val="002A70D0"/>
    <w:rsid w:val="002E3ACC"/>
    <w:rsid w:val="002E4779"/>
    <w:rsid w:val="003111A5"/>
    <w:rsid w:val="003171E8"/>
    <w:rsid w:val="00335105"/>
    <w:rsid w:val="00335B0D"/>
    <w:rsid w:val="00366BCD"/>
    <w:rsid w:val="00377130"/>
    <w:rsid w:val="003805C7"/>
    <w:rsid w:val="0038459F"/>
    <w:rsid w:val="0039467C"/>
    <w:rsid w:val="00396188"/>
    <w:rsid w:val="003A000E"/>
    <w:rsid w:val="003A7CE4"/>
    <w:rsid w:val="003B3ED5"/>
    <w:rsid w:val="003C0FAB"/>
    <w:rsid w:val="003C660C"/>
    <w:rsid w:val="004106E4"/>
    <w:rsid w:val="00411C59"/>
    <w:rsid w:val="0041321B"/>
    <w:rsid w:val="00424C53"/>
    <w:rsid w:val="00446336"/>
    <w:rsid w:val="00454D97"/>
    <w:rsid w:val="00456364"/>
    <w:rsid w:val="00461471"/>
    <w:rsid w:val="0046205E"/>
    <w:rsid w:val="00463417"/>
    <w:rsid w:val="00464125"/>
    <w:rsid w:val="0046582C"/>
    <w:rsid w:val="00465973"/>
    <w:rsid w:val="004668E9"/>
    <w:rsid w:val="00476172"/>
    <w:rsid w:val="004828B4"/>
    <w:rsid w:val="004C11A4"/>
    <w:rsid w:val="004C5B8C"/>
    <w:rsid w:val="004D6E4A"/>
    <w:rsid w:val="00510322"/>
    <w:rsid w:val="005179EF"/>
    <w:rsid w:val="0053697E"/>
    <w:rsid w:val="00541633"/>
    <w:rsid w:val="00554021"/>
    <w:rsid w:val="00554C36"/>
    <w:rsid w:val="00560189"/>
    <w:rsid w:val="00562E35"/>
    <w:rsid w:val="005664C6"/>
    <w:rsid w:val="0059182D"/>
    <w:rsid w:val="005C6948"/>
    <w:rsid w:val="00605C77"/>
    <w:rsid w:val="0060707E"/>
    <w:rsid w:val="00611A6D"/>
    <w:rsid w:val="00691A4C"/>
    <w:rsid w:val="006938BC"/>
    <w:rsid w:val="006A1CC3"/>
    <w:rsid w:val="006B0B80"/>
    <w:rsid w:val="006B13F2"/>
    <w:rsid w:val="006B2F7D"/>
    <w:rsid w:val="006D3A9B"/>
    <w:rsid w:val="006E56AF"/>
    <w:rsid w:val="0070554F"/>
    <w:rsid w:val="007100C0"/>
    <w:rsid w:val="00723CBE"/>
    <w:rsid w:val="00727DDF"/>
    <w:rsid w:val="007521AC"/>
    <w:rsid w:val="00762BE4"/>
    <w:rsid w:val="0077333D"/>
    <w:rsid w:val="00783DFE"/>
    <w:rsid w:val="007919B9"/>
    <w:rsid w:val="00796585"/>
    <w:rsid w:val="007965C2"/>
    <w:rsid w:val="007A1B11"/>
    <w:rsid w:val="007A3B42"/>
    <w:rsid w:val="007C3160"/>
    <w:rsid w:val="007C4068"/>
    <w:rsid w:val="007D61B3"/>
    <w:rsid w:val="00821586"/>
    <w:rsid w:val="00832BBD"/>
    <w:rsid w:val="00843880"/>
    <w:rsid w:val="00844A78"/>
    <w:rsid w:val="00857B7C"/>
    <w:rsid w:val="00857DE2"/>
    <w:rsid w:val="00860157"/>
    <w:rsid w:val="008626FF"/>
    <w:rsid w:val="00872072"/>
    <w:rsid w:val="008723F8"/>
    <w:rsid w:val="00894110"/>
    <w:rsid w:val="008A6EB8"/>
    <w:rsid w:val="008B1F08"/>
    <w:rsid w:val="008D14CD"/>
    <w:rsid w:val="008E2531"/>
    <w:rsid w:val="008E584A"/>
    <w:rsid w:val="008E6D76"/>
    <w:rsid w:val="008F3B54"/>
    <w:rsid w:val="00901DF3"/>
    <w:rsid w:val="009230C4"/>
    <w:rsid w:val="00947459"/>
    <w:rsid w:val="00953BCA"/>
    <w:rsid w:val="00953FD6"/>
    <w:rsid w:val="00960739"/>
    <w:rsid w:val="0096752C"/>
    <w:rsid w:val="00972538"/>
    <w:rsid w:val="009743BF"/>
    <w:rsid w:val="009C51A3"/>
    <w:rsid w:val="009C6D86"/>
    <w:rsid w:val="009C72F0"/>
    <w:rsid w:val="009C754C"/>
    <w:rsid w:val="009D6CB5"/>
    <w:rsid w:val="009E392B"/>
    <w:rsid w:val="00A20986"/>
    <w:rsid w:val="00A74AB6"/>
    <w:rsid w:val="00A8434C"/>
    <w:rsid w:val="00A85AAD"/>
    <w:rsid w:val="00A94E36"/>
    <w:rsid w:val="00AA7AF2"/>
    <w:rsid w:val="00AB1978"/>
    <w:rsid w:val="00AC4985"/>
    <w:rsid w:val="00AD4713"/>
    <w:rsid w:val="00B047B3"/>
    <w:rsid w:val="00B13C58"/>
    <w:rsid w:val="00B16BB2"/>
    <w:rsid w:val="00B4376B"/>
    <w:rsid w:val="00B5763F"/>
    <w:rsid w:val="00B605BB"/>
    <w:rsid w:val="00B60DB1"/>
    <w:rsid w:val="00B67289"/>
    <w:rsid w:val="00B779A4"/>
    <w:rsid w:val="00BB516F"/>
    <w:rsid w:val="00BD452A"/>
    <w:rsid w:val="00BE6ED5"/>
    <w:rsid w:val="00C14AFE"/>
    <w:rsid w:val="00C171D1"/>
    <w:rsid w:val="00C21F20"/>
    <w:rsid w:val="00C27881"/>
    <w:rsid w:val="00C53EC1"/>
    <w:rsid w:val="00C60953"/>
    <w:rsid w:val="00C648E0"/>
    <w:rsid w:val="00C816B0"/>
    <w:rsid w:val="00C82DBA"/>
    <w:rsid w:val="00C95832"/>
    <w:rsid w:val="00CA66B4"/>
    <w:rsid w:val="00CB0C89"/>
    <w:rsid w:val="00CB4843"/>
    <w:rsid w:val="00CF06FD"/>
    <w:rsid w:val="00CF1430"/>
    <w:rsid w:val="00D11E1A"/>
    <w:rsid w:val="00D33DCA"/>
    <w:rsid w:val="00D36C0B"/>
    <w:rsid w:val="00D405BD"/>
    <w:rsid w:val="00D43A8F"/>
    <w:rsid w:val="00D43EC2"/>
    <w:rsid w:val="00D52831"/>
    <w:rsid w:val="00D61BF4"/>
    <w:rsid w:val="00D63FE6"/>
    <w:rsid w:val="00D80F42"/>
    <w:rsid w:val="00D81760"/>
    <w:rsid w:val="00D918FD"/>
    <w:rsid w:val="00D93C1A"/>
    <w:rsid w:val="00D96450"/>
    <w:rsid w:val="00DA073E"/>
    <w:rsid w:val="00DD4136"/>
    <w:rsid w:val="00DE73C1"/>
    <w:rsid w:val="00DF1094"/>
    <w:rsid w:val="00DF6D30"/>
    <w:rsid w:val="00E003B0"/>
    <w:rsid w:val="00E33DED"/>
    <w:rsid w:val="00E449BC"/>
    <w:rsid w:val="00E63C2C"/>
    <w:rsid w:val="00E65600"/>
    <w:rsid w:val="00E707D0"/>
    <w:rsid w:val="00E72FD9"/>
    <w:rsid w:val="00E86E42"/>
    <w:rsid w:val="00EA732E"/>
    <w:rsid w:val="00EB564D"/>
    <w:rsid w:val="00EE6EE6"/>
    <w:rsid w:val="00EF1F3C"/>
    <w:rsid w:val="00EF6FD4"/>
    <w:rsid w:val="00EF7028"/>
    <w:rsid w:val="00F122FA"/>
    <w:rsid w:val="00F310F5"/>
    <w:rsid w:val="00F3177C"/>
    <w:rsid w:val="00F56837"/>
    <w:rsid w:val="00F61D64"/>
    <w:rsid w:val="00F67CBE"/>
    <w:rsid w:val="00F856CE"/>
    <w:rsid w:val="00F96E04"/>
    <w:rsid w:val="00FA3260"/>
    <w:rsid w:val="00FB01CA"/>
    <w:rsid w:val="00FC19A2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93337"/>
  <w15:docId w15:val="{803FFE22-71A0-4780-9453-AF07D90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  <w:style w:type="character" w:customStyle="1" w:styleId="fontstyle21">
    <w:name w:val="fontstyle21"/>
    <w:basedOn w:val="Domylnaczcionkaakapitu"/>
    <w:rsid w:val="00554C36"/>
    <w:rPr>
      <w:rFonts w:ascii="Karmina-Bold" w:hAnsi="Karmina-Bold" w:hint="default"/>
      <w:b/>
      <w:bCs/>
      <w:i w:val="0"/>
      <w:iCs w:val="0"/>
      <w:color w:val="1A1A18"/>
      <w:sz w:val="18"/>
      <w:szCs w:val="18"/>
    </w:rPr>
  </w:style>
  <w:style w:type="character" w:customStyle="1" w:styleId="fontstyle31">
    <w:name w:val="fontstyle31"/>
    <w:basedOn w:val="Domylnaczcionkaakapitu"/>
    <w:rsid w:val="00554C36"/>
    <w:rPr>
      <w:rFonts w:ascii="Dosis-Bold" w:hAnsi="Dosis-Bold" w:hint="default"/>
      <w:b/>
      <w:bCs/>
      <w:i w:val="0"/>
      <w:iCs w:val="0"/>
      <w:color w:val="D2C848"/>
      <w:sz w:val="16"/>
      <w:szCs w:val="16"/>
    </w:rPr>
  </w:style>
  <w:style w:type="character" w:customStyle="1" w:styleId="fontstyle41">
    <w:name w:val="fontstyle41"/>
    <w:basedOn w:val="Domylnaczcionkaakapitu"/>
    <w:rsid w:val="00554C36"/>
    <w:rPr>
      <w:rFonts w:ascii="Dosis-Medium" w:hAnsi="Dosis-Medium" w:hint="default"/>
      <w:b w:val="0"/>
      <w:bCs w:val="0"/>
      <w:i w:val="0"/>
      <w:iCs w:val="0"/>
      <w:color w:val="D2C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0960-2DF2-4D3F-87C1-F531C68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4</cp:revision>
  <dcterms:created xsi:type="dcterms:W3CDTF">2017-12-14T10:40:00Z</dcterms:created>
  <dcterms:modified xsi:type="dcterms:W3CDTF">2017-12-14T11:39:00Z</dcterms:modified>
</cp:coreProperties>
</file>