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E2" w:rsidRPr="007E3209" w:rsidRDefault="00F61BE2" w:rsidP="00F61BE2">
      <w:pPr>
        <w:spacing w:after="0" w:line="240" w:lineRule="auto"/>
        <w:jc w:val="center"/>
        <w:rPr>
          <w:rFonts w:ascii="Calibri Light" w:hAnsi="Calibri Light"/>
          <w:color w:val="C0504D" w:themeColor="accent2"/>
          <w:sz w:val="24"/>
          <w:szCs w:val="24"/>
        </w:rPr>
      </w:pPr>
      <w:r w:rsidRPr="007E3209">
        <w:rPr>
          <w:rFonts w:ascii="Calibri Light" w:eastAsia="Times New Roman" w:hAnsi="Calibri Light" w:cs="Times New Roman"/>
          <w:color w:val="ED7D31"/>
          <w:kern w:val="36"/>
          <w:sz w:val="24"/>
          <w:szCs w:val="24"/>
          <w:lang w:eastAsia="pl-PL"/>
        </w:rPr>
        <w:t xml:space="preserve">RAPORT O STANIE POLSKICH MIAST - </w:t>
      </w:r>
      <w:r w:rsidRPr="007E3209">
        <w:rPr>
          <w:rStyle w:val="Pogrubienie"/>
          <w:rFonts w:ascii="Calibri Light" w:hAnsi="Calibri Light"/>
          <w:b w:val="0"/>
          <w:color w:val="ED7D31"/>
          <w:sz w:val="24"/>
          <w:szCs w:val="24"/>
          <w:shd w:val="clear" w:color="auto" w:fill="FFFFFF"/>
        </w:rPr>
        <w:t>NISKOEMISYJNOŚĆ I EFEKTYWNOŚĆ ENERGETYCZNA</w:t>
      </w:r>
      <w:r w:rsidRPr="007E3209">
        <w:rPr>
          <w:rFonts w:ascii="Calibri Light" w:hAnsi="Calibri Light"/>
          <w:color w:val="C0504D" w:themeColor="accent2"/>
          <w:vertAlign w:val="superscript"/>
        </w:rPr>
        <w:br/>
        <w:t>_____________________________________________________________________________________________________________________</w:t>
      </w:r>
    </w:p>
    <w:p w:rsidR="009A7A99" w:rsidRPr="007E3209" w:rsidRDefault="009A7A99" w:rsidP="009A7A99">
      <w:pPr>
        <w:spacing w:before="100" w:beforeAutospacing="1" w:after="100" w:afterAutospacing="1" w:line="240" w:lineRule="auto"/>
        <w:jc w:val="both"/>
        <w:rPr>
          <w:rFonts w:ascii="Calibri Light" w:eastAsia="Times New Roman" w:hAnsi="Calibri Light" w:cs="Times New Roman"/>
          <w:b/>
          <w:bCs/>
          <w:color w:val="333333"/>
          <w:sz w:val="20"/>
          <w:szCs w:val="20"/>
          <w:lang w:eastAsia="pl-PL"/>
        </w:rPr>
      </w:pPr>
      <w:r w:rsidRPr="007E3209">
        <w:rPr>
          <w:rFonts w:ascii="Calibri Light" w:eastAsia="Times New Roman" w:hAnsi="Calibri Light" w:cs="Times New Roman"/>
          <w:b/>
          <w:bCs/>
          <w:color w:val="333333"/>
          <w:sz w:val="20"/>
          <w:szCs w:val="20"/>
          <w:lang w:eastAsia="pl-PL"/>
        </w:rPr>
        <w:t xml:space="preserve">W ramach Obserwatorium Polityki Miejskiej IRM i we współpracy z </w:t>
      </w:r>
      <w:proofErr w:type="spellStart"/>
      <w:r w:rsidRPr="007E3209">
        <w:rPr>
          <w:rFonts w:ascii="Calibri Light" w:eastAsia="Times New Roman" w:hAnsi="Calibri Light" w:cs="Times New Roman"/>
          <w:b/>
          <w:bCs/>
          <w:color w:val="333333"/>
          <w:sz w:val="20"/>
          <w:szCs w:val="20"/>
          <w:lang w:eastAsia="pl-PL"/>
        </w:rPr>
        <w:t>Atmoterm</w:t>
      </w:r>
      <w:proofErr w:type="spellEnd"/>
      <w:r w:rsidRPr="007E3209">
        <w:rPr>
          <w:rFonts w:ascii="Calibri Light" w:eastAsia="Times New Roman" w:hAnsi="Calibri Light" w:cs="Times New Roman"/>
          <w:b/>
          <w:bCs/>
          <w:color w:val="333333"/>
          <w:sz w:val="20"/>
          <w:szCs w:val="20"/>
          <w:lang w:eastAsia="pl-PL"/>
        </w:rPr>
        <w:t xml:space="preserve"> S.A., opublikowano raport poświęcony gospodarce niskoemisyjnej w polskich miastach.</w:t>
      </w:r>
    </w:p>
    <w:p w:rsidR="009F4851" w:rsidRDefault="009A7A99" w:rsidP="00F61BE2">
      <w:pPr>
        <w:pStyle w:val="Akapitzlist"/>
        <w:numPr>
          <w:ilvl w:val="0"/>
          <w:numId w:val="1"/>
        </w:numPr>
        <w:spacing w:before="100" w:beforeAutospacing="1" w:after="100" w:afterAutospacing="1" w:line="240" w:lineRule="auto"/>
        <w:jc w:val="both"/>
        <w:rPr>
          <w:rFonts w:ascii="Calibri Light" w:eastAsia="Times New Roman" w:hAnsi="Calibri Light" w:cs="Times New Roman"/>
          <w:b/>
          <w:bCs/>
          <w:color w:val="333333"/>
          <w:sz w:val="20"/>
          <w:szCs w:val="20"/>
          <w:lang w:eastAsia="pl-PL"/>
        </w:rPr>
      </w:pPr>
      <w:r w:rsidRPr="007E3209">
        <w:rPr>
          <w:rFonts w:ascii="Calibri Light" w:eastAsia="Times New Roman" w:hAnsi="Calibri Light" w:cs="Times New Roman"/>
          <w:b/>
          <w:color w:val="333333"/>
          <w:sz w:val="20"/>
          <w:szCs w:val="20"/>
          <w:lang w:eastAsia="pl-PL"/>
        </w:rPr>
        <w:t>Miasta</w:t>
      </w:r>
      <w:r w:rsidRPr="009A7A99">
        <w:rPr>
          <w:rFonts w:ascii="Calibri Light" w:eastAsia="Times New Roman" w:hAnsi="Calibri Light" w:cs="Times New Roman"/>
          <w:b/>
          <w:color w:val="333333"/>
          <w:sz w:val="20"/>
          <w:szCs w:val="20"/>
          <w:lang w:eastAsia="pl-PL"/>
        </w:rPr>
        <w:t xml:space="preserve"> w Polsce powyżej 50 tys. mieszkańców posiadają plany w zakresie przejścia w kierunku gospodarki niskoemisyjnej</w:t>
      </w:r>
      <w:r w:rsidR="00F61BE2" w:rsidRPr="007E3209">
        <w:rPr>
          <w:rFonts w:ascii="Calibri Light" w:eastAsia="Times New Roman" w:hAnsi="Calibri Light" w:cs="Times New Roman"/>
          <w:b/>
          <w:color w:val="333333"/>
          <w:sz w:val="20"/>
          <w:szCs w:val="20"/>
          <w:lang w:eastAsia="pl-PL"/>
        </w:rPr>
        <w:t xml:space="preserve">. </w:t>
      </w:r>
      <w:r w:rsidR="00F61BE2" w:rsidRPr="007E3209">
        <w:rPr>
          <w:rFonts w:ascii="Calibri Light" w:eastAsia="Times New Roman" w:hAnsi="Calibri Light" w:cs="Times New Roman"/>
          <w:b/>
          <w:bCs/>
          <w:color w:val="333333"/>
          <w:sz w:val="20"/>
          <w:szCs w:val="20"/>
          <w:lang w:eastAsia="pl-PL"/>
        </w:rPr>
        <w:t>Niestety, takie dokumenty wypracowały t</w:t>
      </w:r>
      <w:r w:rsidR="009F4851">
        <w:rPr>
          <w:rFonts w:ascii="Calibri Light" w:eastAsia="Times New Roman" w:hAnsi="Calibri Light" w:cs="Times New Roman"/>
          <w:b/>
          <w:bCs/>
          <w:color w:val="333333"/>
          <w:sz w:val="20"/>
          <w:szCs w:val="20"/>
          <w:lang w:eastAsia="pl-PL"/>
        </w:rPr>
        <w:t>ylko nieliczne ośrodki lokalne.</w:t>
      </w:r>
    </w:p>
    <w:p w:rsidR="00F61BE2" w:rsidRPr="007E3209" w:rsidRDefault="00F61BE2" w:rsidP="00F61BE2">
      <w:pPr>
        <w:pStyle w:val="Akapitzlist"/>
        <w:numPr>
          <w:ilvl w:val="0"/>
          <w:numId w:val="1"/>
        </w:numPr>
        <w:spacing w:before="100" w:beforeAutospacing="1" w:after="100" w:afterAutospacing="1" w:line="240" w:lineRule="auto"/>
        <w:jc w:val="both"/>
        <w:rPr>
          <w:rFonts w:ascii="Calibri Light" w:eastAsia="Times New Roman" w:hAnsi="Calibri Light" w:cs="Times New Roman"/>
          <w:b/>
          <w:bCs/>
          <w:color w:val="333333"/>
          <w:sz w:val="20"/>
          <w:szCs w:val="20"/>
          <w:lang w:eastAsia="pl-PL"/>
        </w:rPr>
      </w:pPr>
      <w:r w:rsidRPr="007E3209">
        <w:rPr>
          <w:rFonts w:ascii="Calibri Light" w:eastAsia="Times New Roman" w:hAnsi="Calibri Light" w:cs="Times New Roman"/>
          <w:b/>
          <w:bCs/>
          <w:color w:val="333333"/>
          <w:sz w:val="20"/>
          <w:szCs w:val="20"/>
          <w:lang w:eastAsia="pl-PL"/>
        </w:rPr>
        <w:t xml:space="preserve">Bez nich samorządy nie mogą skorzystać z dofinansowania z UE na działania niskoemisyjne </w:t>
      </w:r>
      <w:r w:rsidR="007E3209">
        <w:rPr>
          <w:rFonts w:ascii="Calibri Light" w:eastAsia="Times New Roman" w:hAnsi="Calibri Light" w:cs="Times New Roman"/>
          <w:b/>
          <w:bCs/>
          <w:color w:val="333333"/>
          <w:sz w:val="20"/>
          <w:szCs w:val="20"/>
          <w:lang w:eastAsia="pl-PL"/>
        </w:rPr>
        <w:br/>
      </w:r>
      <w:r w:rsidRPr="007E3209">
        <w:rPr>
          <w:rFonts w:ascii="Calibri Light" w:eastAsia="Times New Roman" w:hAnsi="Calibri Light" w:cs="Times New Roman"/>
          <w:b/>
          <w:bCs/>
          <w:color w:val="333333"/>
          <w:sz w:val="20"/>
          <w:szCs w:val="20"/>
          <w:lang w:eastAsia="pl-PL"/>
        </w:rPr>
        <w:t>i poprawiające efektywność energetyczną.</w:t>
      </w:r>
    </w:p>
    <w:p w:rsidR="009A7A99" w:rsidRPr="007E3209" w:rsidRDefault="009A7A99" w:rsidP="009A7A99">
      <w:pPr>
        <w:pStyle w:val="Akapitzlist"/>
        <w:numPr>
          <w:ilvl w:val="0"/>
          <w:numId w:val="1"/>
        </w:numPr>
        <w:spacing w:before="100" w:beforeAutospacing="1" w:after="100" w:afterAutospacing="1" w:line="240" w:lineRule="auto"/>
        <w:jc w:val="both"/>
        <w:rPr>
          <w:rFonts w:ascii="Calibri Light" w:eastAsia="Times New Roman" w:hAnsi="Calibri Light" w:cs="Times New Roman"/>
          <w:b/>
          <w:bCs/>
          <w:color w:val="333333"/>
          <w:sz w:val="20"/>
          <w:szCs w:val="20"/>
          <w:lang w:eastAsia="pl-PL"/>
        </w:rPr>
      </w:pPr>
      <w:r w:rsidRPr="007E3209">
        <w:rPr>
          <w:rFonts w:ascii="Calibri Light" w:eastAsia="Times New Roman" w:hAnsi="Calibri Light" w:cs="Times New Roman"/>
          <w:b/>
          <w:color w:val="333333"/>
          <w:sz w:val="20"/>
          <w:szCs w:val="20"/>
          <w:lang w:eastAsia="pl-PL"/>
        </w:rPr>
        <w:t>Ośrodki metropolitalne planują d</w:t>
      </w:r>
      <w:r w:rsidRPr="009A7A99">
        <w:rPr>
          <w:rFonts w:ascii="Calibri Light" w:eastAsia="Times New Roman" w:hAnsi="Calibri Light" w:cs="Times New Roman"/>
          <w:b/>
          <w:color w:val="333333"/>
          <w:sz w:val="20"/>
          <w:szCs w:val="20"/>
          <w:lang w:eastAsia="pl-PL"/>
        </w:rPr>
        <w:t xml:space="preserve">o 2020 roku </w:t>
      </w:r>
      <w:r w:rsidRPr="007E3209">
        <w:rPr>
          <w:rFonts w:ascii="Calibri Light" w:eastAsia="Times New Roman" w:hAnsi="Calibri Light" w:cs="Times New Roman"/>
          <w:b/>
          <w:color w:val="333333"/>
          <w:sz w:val="20"/>
          <w:szCs w:val="20"/>
          <w:lang w:eastAsia="pl-PL"/>
        </w:rPr>
        <w:t>ograniczyć</w:t>
      </w:r>
      <w:r w:rsidRPr="009A7A99">
        <w:rPr>
          <w:rFonts w:ascii="Calibri Light" w:eastAsia="Times New Roman" w:hAnsi="Calibri Light" w:cs="Times New Roman"/>
          <w:b/>
          <w:color w:val="333333"/>
          <w:sz w:val="20"/>
          <w:szCs w:val="20"/>
          <w:lang w:eastAsia="pl-PL"/>
        </w:rPr>
        <w:t xml:space="preserve"> emisj</w:t>
      </w:r>
      <w:r w:rsidRPr="007E3209">
        <w:rPr>
          <w:rFonts w:ascii="Calibri Light" w:eastAsia="Times New Roman" w:hAnsi="Calibri Light" w:cs="Times New Roman"/>
          <w:b/>
          <w:color w:val="333333"/>
          <w:sz w:val="20"/>
          <w:szCs w:val="20"/>
          <w:lang w:eastAsia="pl-PL"/>
        </w:rPr>
        <w:t>ę</w:t>
      </w:r>
      <w:r w:rsidRPr="009A7A99">
        <w:rPr>
          <w:rFonts w:ascii="Calibri Light" w:eastAsia="Times New Roman" w:hAnsi="Calibri Light" w:cs="Times New Roman"/>
          <w:b/>
          <w:color w:val="333333"/>
          <w:sz w:val="20"/>
          <w:szCs w:val="20"/>
          <w:lang w:eastAsia="pl-PL"/>
        </w:rPr>
        <w:t xml:space="preserve"> gazów cieplarnianych o ok. 18% oraz zmniejsz</w:t>
      </w:r>
      <w:r w:rsidRPr="007E3209">
        <w:rPr>
          <w:rFonts w:ascii="Calibri Light" w:eastAsia="Times New Roman" w:hAnsi="Calibri Light" w:cs="Times New Roman"/>
          <w:b/>
          <w:color w:val="333333"/>
          <w:sz w:val="20"/>
          <w:szCs w:val="20"/>
          <w:lang w:eastAsia="pl-PL"/>
        </w:rPr>
        <w:t xml:space="preserve">yć </w:t>
      </w:r>
      <w:r w:rsidRPr="009A7A99">
        <w:rPr>
          <w:rFonts w:ascii="Calibri Light" w:eastAsia="Times New Roman" w:hAnsi="Calibri Light" w:cs="Times New Roman"/>
          <w:b/>
          <w:color w:val="333333"/>
          <w:sz w:val="20"/>
          <w:szCs w:val="20"/>
          <w:lang w:eastAsia="pl-PL"/>
        </w:rPr>
        <w:t>zużyci</w:t>
      </w:r>
      <w:r w:rsidRPr="007E3209">
        <w:rPr>
          <w:rFonts w:ascii="Calibri Light" w:eastAsia="Times New Roman" w:hAnsi="Calibri Light" w:cs="Times New Roman"/>
          <w:b/>
          <w:color w:val="333333"/>
          <w:sz w:val="20"/>
          <w:szCs w:val="20"/>
          <w:lang w:eastAsia="pl-PL"/>
        </w:rPr>
        <w:t>e</w:t>
      </w:r>
      <w:r w:rsidRPr="009A7A99">
        <w:rPr>
          <w:rFonts w:ascii="Calibri Light" w:eastAsia="Times New Roman" w:hAnsi="Calibri Light" w:cs="Times New Roman"/>
          <w:b/>
          <w:color w:val="333333"/>
          <w:sz w:val="20"/>
          <w:szCs w:val="20"/>
          <w:lang w:eastAsia="pl-PL"/>
        </w:rPr>
        <w:t xml:space="preserve"> energii finalnej niemal o 12%.</w:t>
      </w:r>
    </w:p>
    <w:p w:rsidR="009A7A99" w:rsidRPr="007E3209" w:rsidRDefault="00F61BE2" w:rsidP="009A7A99">
      <w:pPr>
        <w:pStyle w:val="Akapitzlist"/>
        <w:numPr>
          <w:ilvl w:val="0"/>
          <w:numId w:val="1"/>
        </w:numPr>
        <w:spacing w:before="100" w:beforeAutospacing="1" w:after="100" w:afterAutospacing="1" w:line="240" w:lineRule="auto"/>
        <w:jc w:val="both"/>
        <w:rPr>
          <w:rFonts w:ascii="Calibri Light" w:eastAsia="Times New Roman" w:hAnsi="Calibri Light" w:cs="Times New Roman"/>
          <w:b/>
          <w:bCs/>
          <w:color w:val="333333"/>
          <w:sz w:val="20"/>
          <w:szCs w:val="20"/>
          <w:lang w:eastAsia="pl-PL"/>
        </w:rPr>
      </w:pPr>
      <w:r w:rsidRPr="007E3209">
        <w:rPr>
          <w:rFonts w:ascii="Calibri Light" w:eastAsia="Times New Roman" w:hAnsi="Calibri Light" w:cs="Times New Roman"/>
          <w:b/>
          <w:color w:val="333333"/>
          <w:sz w:val="20"/>
          <w:szCs w:val="20"/>
          <w:lang w:eastAsia="pl-PL"/>
        </w:rPr>
        <w:t>B</w:t>
      </w:r>
      <w:r w:rsidRPr="009A7A99">
        <w:rPr>
          <w:rFonts w:ascii="Calibri Light" w:eastAsia="Times New Roman" w:hAnsi="Calibri Light" w:cs="Times New Roman"/>
          <w:b/>
          <w:color w:val="333333"/>
          <w:sz w:val="20"/>
          <w:szCs w:val="20"/>
          <w:lang w:eastAsia="pl-PL"/>
        </w:rPr>
        <w:t>udownictwo oraz transport</w:t>
      </w:r>
      <w:r w:rsidRPr="007E3209">
        <w:rPr>
          <w:rFonts w:ascii="Calibri Light" w:eastAsia="Times New Roman" w:hAnsi="Calibri Light" w:cs="Times New Roman"/>
          <w:b/>
          <w:color w:val="333333"/>
          <w:sz w:val="20"/>
          <w:szCs w:val="20"/>
          <w:lang w:eastAsia="pl-PL"/>
        </w:rPr>
        <w:t xml:space="preserve"> to sektory</w:t>
      </w:r>
      <w:r w:rsidRPr="009A7A99">
        <w:rPr>
          <w:rFonts w:ascii="Calibri Light" w:eastAsia="Times New Roman" w:hAnsi="Calibri Light" w:cs="Times New Roman"/>
          <w:b/>
          <w:color w:val="333333"/>
          <w:sz w:val="20"/>
          <w:szCs w:val="20"/>
          <w:lang w:eastAsia="pl-PL"/>
        </w:rPr>
        <w:t>, które najbardziej przyczyniają się w polskich miastach do emisji gazów cieplarnianych oraz zużycia energii</w:t>
      </w:r>
      <w:r w:rsidRPr="007E3209">
        <w:rPr>
          <w:rFonts w:ascii="Calibri Light" w:eastAsia="Times New Roman" w:hAnsi="Calibri Light" w:cs="Times New Roman"/>
          <w:b/>
          <w:color w:val="333333"/>
          <w:sz w:val="20"/>
          <w:szCs w:val="20"/>
          <w:lang w:eastAsia="pl-PL"/>
        </w:rPr>
        <w:t>.</w:t>
      </w:r>
    </w:p>
    <w:p w:rsidR="009A7A99" w:rsidRPr="009A7A99" w:rsidRDefault="009A7A99" w:rsidP="007E3209">
      <w:pPr>
        <w:spacing w:before="80" w:after="80" w:line="240" w:lineRule="auto"/>
        <w:jc w:val="both"/>
        <w:rPr>
          <w:rFonts w:ascii="Calibri Light" w:eastAsia="Times New Roman" w:hAnsi="Calibri Light" w:cs="Times New Roman"/>
          <w:color w:val="333333"/>
          <w:sz w:val="20"/>
          <w:szCs w:val="20"/>
          <w:lang w:eastAsia="pl-PL"/>
        </w:rPr>
      </w:pPr>
      <w:r w:rsidRPr="009A7A99">
        <w:rPr>
          <w:rFonts w:ascii="Calibri Light" w:eastAsia="Times New Roman" w:hAnsi="Calibri Light" w:cs="Times New Roman"/>
          <w:color w:val="333333"/>
          <w:sz w:val="20"/>
          <w:szCs w:val="20"/>
          <w:lang w:eastAsia="pl-PL"/>
        </w:rPr>
        <w:t xml:space="preserve">W zapoczątkowanej 7 lat temu unijnej strategii Europa 2020 jeden z nadrzędnych celów dotyczy zmian </w:t>
      </w:r>
      <w:r w:rsidR="007E3209">
        <w:rPr>
          <w:rFonts w:ascii="Calibri Light" w:eastAsia="Times New Roman" w:hAnsi="Calibri Light" w:cs="Times New Roman"/>
          <w:color w:val="333333"/>
          <w:sz w:val="20"/>
          <w:szCs w:val="20"/>
          <w:lang w:eastAsia="pl-PL"/>
        </w:rPr>
        <w:br/>
      </w:r>
      <w:r w:rsidRPr="009A7A99">
        <w:rPr>
          <w:rFonts w:ascii="Calibri Light" w:eastAsia="Times New Roman" w:hAnsi="Calibri Light" w:cs="Times New Roman"/>
          <w:color w:val="333333"/>
          <w:sz w:val="20"/>
          <w:szCs w:val="20"/>
          <w:lang w:eastAsia="pl-PL"/>
        </w:rPr>
        <w:t xml:space="preserve">w zakresie klimatu i energii. Cel, znany szerzej jako  „20/20/20”, zakłada redukcję emisji gazów cieplarnianych </w:t>
      </w:r>
      <w:r w:rsidR="007E3209">
        <w:rPr>
          <w:rFonts w:ascii="Calibri Light" w:eastAsia="Times New Roman" w:hAnsi="Calibri Light" w:cs="Times New Roman"/>
          <w:color w:val="333333"/>
          <w:sz w:val="20"/>
          <w:szCs w:val="20"/>
          <w:lang w:eastAsia="pl-PL"/>
        </w:rPr>
        <w:br/>
      </w:r>
      <w:r w:rsidRPr="009A7A99">
        <w:rPr>
          <w:rFonts w:ascii="Calibri Light" w:eastAsia="Times New Roman" w:hAnsi="Calibri Light" w:cs="Times New Roman"/>
          <w:color w:val="333333"/>
          <w:sz w:val="20"/>
          <w:szCs w:val="20"/>
          <w:lang w:eastAsia="pl-PL"/>
        </w:rPr>
        <w:t xml:space="preserve">o 20% w porównaniu z rokiem 1990, uzyskanie 20-procentowego udziału odnawialnych źródeł energii (OZE) </w:t>
      </w:r>
      <w:r w:rsidR="007E3209">
        <w:rPr>
          <w:rFonts w:ascii="Calibri Light" w:eastAsia="Times New Roman" w:hAnsi="Calibri Light" w:cs="Times New Roman"/>
          <w:color w:val="333333"/>
          <w:sz w:val="20"/>
          <w:szCs w:val="20"/>
          <w:lang w:eastAsia="pl-PL"/>
        </w:rPr>
        <w:br/>
      </w:r>
      <w:r w:rsidRPr="009A7A99">
        <w:rPr>
          <w:rFonts w:ascii="Calibri Light" w:eastAsia="Times New Roman" w:hAnsi="Calibri Light" w:cs="Times New Roman"/>
          <w:color w:val="333333"/>
          <w:sz w:val="20"/>
          <w:szCs w:val="20"/>
          <w:lang w:eastAsia="pl-PL"/>
        </w:rPr>
        <w:t xml:space="preserve">w ogólnym zużyciu energii (w przypadku Polski 15-procentowego) oraz zwiększenie efektywności energetycznej o 20%. Kolejnym etapem ma być realizacja pakietu klimatyczno-energetycznego na lata 2020–2030. W ramach niego Unia planuje do roku 2030 ograniczyć emisję gazów cieplarnianych o co najmniej 40% w porównaniu </w:t>
      </w:r>
      <w:r w:rsidR="007E3209">
        <w:rPr>
          <w:rFonts w:ascii="Calibri Light" w:eastAsia="Times New Roman" w:hAnsi="Calibri Light" w:cs="Times New Roman"/>
          <w:color w:val="333333"/>
          <w:sz w:val="20"/>
          <w:szCs w:val="20"/>
          <w:lang w:eastAsia="pl-PL"/>
        </w:rPr>
        <w:br/>
      </w:r>
      <w:r w:rsidRPr="009A7A99">
        <w:rPr>
          <w:rFonts w:ascii="Calibri Light" w:eastAsia="Times New Roman" w:hAnsi="Calibri Light" w:cs="Times New Roman"/>
          <w:color w:val="333333"/>
          <w:sz w:val="20"/>
          <w:szCs w:val="20"/>
          <w:lang w:eastAsia="pl-PL"/>
        </w:rPr>
        <w:t xml:space="preserve">z rokiem 1990, a także wzrost udziału energii z OZE w całkowitym zużyciu energii elektrycznej na poziomie 27% oraz zwiększenie efektywności energetycznej o 27%. Najwięcej energii zużywanej w Unii Europejskiej jest </w:t>
      </w:r>
      <w:r w:rsidR="007E3209">
        <w:rPr>
          <w:rFonts w:ascii="Calibri Light" w:eastAsia="Times New Roman" w:hAnsi="Calibri Light" w:cs="Times New Roman"/>
          <w:color w:val="333333"/>
          <w:sz w:val="20"/>
          <w:szCs w:val="20"/>
          <w:lang w:eastAsia="pl-PL"/>
        </w:rPr>
        <w:br/>
      </w:r>
      <w:r w:rsidRPr="009A7A99">
        <w:rPr>
          <w:rFonts w:ascii="Calibri Light" w:eastAsia="Times New Roman" w:hAnsi="Calibri Light" w:cs="Times New Roman"/>
          <w:color w:val="333333"/>
          <w:sz w:val="20"/>
          <w:szCs w:val="20"/>
          <w:lang w:eastAsia="pl-PL"/>
        </w:rPr>
        <w:t xml:space="preserve">w miastach. Dlatego to od działań na poziomie samorządów zależy na ile plan się uda. Jak wygląda sytuacja </w:t>
      </w:r>
      <w:r w:rsidR="007E3209">
        <w:rPr>
          <w:rFonts w:ascii="Calibri Light" w:eastAsia="Times New Roman" w:hAnsi="Calibri Light" w:cs="Times New Roman"/>
          <w:color w:val="333333"/>
          <w:sz w:val="20"/>
          <w:szCs w:val="20"/>
          <w:lang w:eastAsia="pl-PL"/>
        </w:rPr>
        <w:br/>
      </w:r>
      <w:r w:rsidRPr="009A7A99">
        <w:rPr>
          <w:rFonts w:ascii="Calibri Light" w:eastAsia="Times New Roman" w:hAnsi="Calibri Light" w:cs="Times New Roman"/>
          <w:color w:val="333333"/>
          <w:sz w:val="20"/>
          <w:szCs w:val="20"/>
          <w:lang w:eastAsia="pl-PL"/>
        </w:rPr>
        <w:t>w Polsce?</w:t>
      </w:r>
    </w:p>
    <w:p w:rsidR="009A7A99" w:rsidRPr="009A7A99" w:rsidRDefault="009A7A99" w:rsidP="007E3209">
      <w:pPr>
        <w:spacing w:before="80" w:after="80" w:line="240" w:lineRule="auto"/>
        <w:jc w:val="both"/>
        <w:outlineLvl w:val="4"/>
        <w:rPr>
          <w:rFonts w:ascii="Calibri Light" w:eastAsia="Times New Roman" w:hAnsi="Calibri Light" w:cs="Times New Roman"/>
          <w:b/>
          <w:bCs/>
          <w:color w:val="333333"/>
          <w:sz w:val="20"/>
          <w:szCs w:val="20"/>
          <w:lang w:eastAsia="pl-PL"/>
        </w:rPr>
      </w:pPr>
      <w:r w:rsidRPr="007E3209">
        <w:rPr>
          <w:rFonts w:ascii="Calibri Light" w:eastAsia="Times New Roman" w:hAnsi="Calibri Light" w:cs="Times New Roman"/>
          <w:b/>
          <w:bCs/>
          <w:color w:val="333333"/>
          <w:sz w:val="20"/>
          <w:szCs w:val="20"/>
          <w:lang w:eastAsia="pl-PL"/>
        </w:rPr>
        <w:t>Bez planu nie ma pieniędzy</w:t>
      </w:r>
    </w:p>
    <w:p w:rsidR="009A7A99" w:rsidRPr="009A7A99" w:rsidRDefault="009A7A99" w:rsidP="007E3209">
      <w:pPr>
        <w:spacing w:before="80" w:after="80" w:line="240" w:lineRule="auto"/>
        <w:jc w:val="both"/>
        <w:rPr>
          <w:rFonts w:ascii="Calibri Light" w:eastAsia="Times New Roman" w:hAnsi="Calibri Light" w:cs="Times New Roman"/>
          <w:color w:val="333333"/>
          <w:sz w:val="20"/>
          <w:szCs w:val="20"/>
          <w:lang w:eastAsia="pl-PL"/>
        </w:rPr>
      </w:pPr>
      <w:r w:rsidRPr="009A7A99">
        <w:rPr>
          <w:rFonts w:ascii="Calibri Light" w:eastAsia="Times New Roman" w:hAnsi="Calibri Light" w:cs="Times New Roman"/>
          <w:color w:val="333333"/>
          <w:sz w:val="20"/>
          <w:szCs w:val="20"/>
          <w:lang w:eastAsia="pl-PL"/>
        </w:rPr>
        <w:t xml:space="preserve">Zasadniczo wszystkie miasta w Polsce powyżej 50 tys. mieszkańców posiadają plany w zakresie przejścia </w:t>
      </w:r>
      <w:r w:rsidR="007E3209">
        <w:rPr>
          <w:rFonts w:ascii="Calibri Light" w:eastAsia="Times New Roman" w:hAnsi="Calibri Light" w:cs="Times New Roman"/>
          <w:color w:val="333333"/>
          <w:sz w:val="20"/>
          <w:szCs w:val="20"/>
          <w:lang w:eastAsia="pl-PL"/>
        </w:rPr>
        <w:br/>
      </w:r>
      <w:r w:rsidRPr="009A7A99">
        <w:rPr>
          <w:rFonts w:ascii="Calibri Light" w:eastAsia="Times New Roman" w:hAnsi="Calibri Light" w:cs="Times New Roman"/>
          <w:color w:val="333333"/>
          <w:sz w:val="20"/>
          <w:szCs w:val="20"/>
          <w:lang w:eastAsia="pl-PL"/>
        </w:rPr>
        <w:t>kierunku gospodarki niskoemisyjnej – plany działań na rzecz zrównoważonej energii (SEAP) lub plany gospodarki niskoemisyjnej (PGN). Gorzej sytuacja wygląda w ośrodkach lokalnych. Szacuje się, że jedynie 25-30% posiada takie dokumenty. Bez nich samorządy nie mogą skorzystać z dofinansowania z UE na działania niskoemisyjne i poprawiające efektywność energetyczną.</w:t>
      </w:r>
    </w:p>
    <w:p w:rsidR="009A7A99" w:rsidRPr="009A7A99" w:rsidRDefault="009A7A99" w:rsidP="007E3209">
      <w:pPr>
        <w:spacing w:before="80" w:after="80" w:line="240" w:lineRule="auto"/>
        <w:jc w:val="both"/>
        <w:rPr>
          <w:rFonts w:ascii="Calibri Light" w:eastAsia="Times New Roman" w:hAnsi="Calibri Light" w:cs="Times New Roman"/>
          <w:color w:val="333333"/>
          <w:sz w:val="20"/>
          <w:szCs w:val="20"/>
          <w:lang w:eastAsia="pl-PL"/>
        </w:rPr>
      </w:pPr>
      <w:r w:rsidRPr="009A7A99">
        <w:rPr>
          <w:rFonts w:ascii="Calibri Light" w:eastAsia="Times New Roman" w:hAnsi="Calibri Light" w:cs="Times New Roman"/>
          <w:color w:val="333333"/>
          <w:sz w:val="20"/>
          <w:szCs w:val="20"/>
          <w:lang w:eastAsia="pl-PL"/>
        </w:rPr>
        <w:t xml:space="preserve">Niekiedy </w:t>
      </w:r>
      <w:proofErr w:type="spellStart"/>
      <w:r w:rsidRPr="009A7A99">
        <w:rPr>
          <w:rFonts w:ascii="Calibri Light" w:eastAsia="Times New Roman" w:hAnsi="Calibri Light" w:cs="Times New Roman"/>
          <w:color w:val="333333"/>
          <w:sz w:val="20"/>
          <w:szCs w:val="20"/>
          <w:lang w:eastAsia="pl-PL"/>
        </w:rPr>
        <w:t>PGN-y</w:t>
      </w:r>
      <w:proofErr w:type="spellEnd"/>
      <w:r w:rsidRPr="009A7A99">
        <w:rPr>
          <w:rFonts w:ascii="Calibri Light" w:eastAsia="Times New Roman" w:hAnsi="Calibri Light" w:cs="Times New Roman"/>
          <w:color w:val="333333"/>
          <w:sz w:val="20"/>
          <w:szCs w:val="20"/>
          <w:lang w:eastAsia="pl-PL"/>
        </w:rPr>
        <w:t xml:space="preserve"> są tworzone także dla obszarów funkcjonalnych. Jednak jest ich niewiele, im mniejszy ośrodek tym rzadziej widać działanie na tym polu. </w:t>
      </w:r>
      <w:proofErr w:type="spellStart"/>
      <w:r w:rsidRPr="009A7A99">
        <w:rPr>
          <w:rFonts w:ascii="Calibri Light" w:eastAsia="Times New Roman" w:hAnsi="Calibri Light" w:cs="Times New Roman"/>
          <w:color w:val="333333"/>
          <w:sz w:val="20"/>
          <w:szCs w:val="20"/>
          <w:lang w:eastAsia="pl-PL"/>
        </w:rPr>
        <w:t>PGN-y</w:t>
      </w:r>
      <w:proofErr w:type="spellEnd"/>
      <w:r w:rsidRPr="009A7A99">
        <w:rPr>
          <w:rFonts w:ascii="Calibri Light" w:eastAsia="Times New Roman" w:hAnsi="Calibri Light" w:cs="Times New Roman"/>
          <w:color w:val="333333"/>
          <w:sz w:val="20"/>
          <w:szCs w:val="20"/>
          <w:lang w:eastAsia="pl-PL"/>
        </w:rPr>
        <w:t xml:space="preserve"> posiada 39% ośrodków wojewódzkich, 7% regionalnych oraz 3,5% </w:t>
      </w:r>
      <w:proofErr w:type="spellStart"/>
      <w:r w:rsidRPr="009A7A99">
        <w:rPr>
          <w:rFonts w:ascii="Calibri Light" w:eastAsia="Times New Roman" w:hAnsi="Calibri Light" w:cs="Times New Roman"/>
          <w:color w:val="333333"/>
          <w:sz w:val="20"/>
          <w:szCs w:val="20"/>
          <w:lang w:eastAsia="pl-PL"/>
        </w:rPr>
        <w:t>subregionalnych</w:t>
      </w:r>
      <w:proofErr w:type="spellEnd"/>
      <w:r w:rsidRPr="009A7A99">
        <w:rPr>
          <w:rFonts w:ascii="Calibri Light" w:eastAsia="Times New Roman" w:hAnsi="Calibri Light" w:cs="Times New Roman"/>
          <w:color w:val="333333"/>
          <w:sz w:val="20"/>
          <w:szCs w:val="20"/>
          <w:lang w:eastAsia="pl-PL"/>
        </w:rPr>
        <w:t>.</w:t>
      </w:r>
    </w:p>
    <w:p w:rsidR="009A7A99" w:rsidRPr="007E3209" w:rsidRDefault="007E3209" w:rsidP="007E3209">
      <w:pPr>
        <w:spacing w:before="80" w:after="80" w:line="240" w:lineRule="auto"/>
        <w:rPr>
          <w:rFonts w:ascii="Calibri Light" w:eastAsia="Times New Roman" w:hAnsi="Calibri Light" w:cs="Times New Roman"/>
          <w:color w:val="333333"/>
          <w:sz w:val="24"/>
          <w:szCs w:val="24"/>
          <w:lang w:eastAsia="pl-PL"/>
        </w:rPr>
      </w:pPr>
      <w:r>
        <w:rPr>
          <w:rFonts w:ascii="Calibri Light" w:eastAsia="Times New Roman" w:hAnsi="Calibri Light" w:cs="Times New Roman"/>
          <w:b/>
          <w:bCs/>
          <w:i/>
          <w:iCs/>
          <w:noProof/>
          <w:color w:val="333333"/>
          <w:sz w:val="24"/>
          <w:szCs w:val="24"/>
          <w:lang w:eastAsia="pl-PL"/>
        </w:rPr>
        <w:drawing>
          <wp:anchor distT="0" distB="0" distL="114300" distR="114300" simplePos="0" relativeHeight="251658240" behindDoc="1" locked="0" layoutInCell="1" allowOverlap="1">
            <wp:simplePos x="0" y="0"/>
            <wp:positionH relativeFrom="column">
              <wp:posOffset>-19685</wp:posOffset>
            </wp:positionH>
            <wp:positionV relativeFrom="paragraph">
              <wp:posOffset>14605</wp:posOffset>
            </wp:positionV>
            <wp:extent cx="889635" cy="821690"/>
            <wp:effectExtent l="19050" t="0" r="5715" b="0"/>
            <wp:wrapTight wrapText="bothSides">
              <wp:wrapPolygon edited="0">
                <wp:start x="-463" y="0"/>
                <wp:lineTo x="-463" y="8012"/>
                <wp:lineTo x="1388" y="16025"/>
                <wp:lineTo x="-463" y="17527"/>
                <wp:lineTo x="925" y="21032"/>
                <wp:lineTo x="16188" y="21032"/>
                <wp:lineTo x="16651" y="21032"/>
                <wp:lineTo x="21276" y="16526"/>
                <wp:lineTo x="21276" y="16025"/>
                <wp:lineTo x="21739" y="10015"/>
                <wp:lineTo x="21739" y="0"/>
                <wp:lineTo x="-463" y="0"/>
              </wp:wrapPolygon>
            </wp:wrapTight>
            <wp:docPr id="1" name="Obraz 1" descr="cytaty-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taty-min"/>
                    <pic:cNvPicPr>
                      <a:picLocks noChangeAspect="1" noChangeArrowheads="1"/>
                    </pic:cNvPicPr>
                  </pic:nvPicPr>
                  <pic:blipFill>
                    <a:blip r:embed="rId5" cstate="print"/>
                    <a:srcRect/>
                    <a:stretch>
                      <a:fillRect/>
                    </a:stretch>
                  </pic:blipFill>
                  <pic:spPr bwMode="auto">
                    <a:xfrm>
                      <a:off x="0" y="0"/>
                      <a:ext cx="889635" cy="821690"/>
                    </a:xfrm>
                    <a:prstGeom prst="rect">
                      <a:avLst/>
                    </a:prstGeom>
                    <a:noFill/>
                    <a:ln w="9525">
                      <a:noFill/>
                      <a:miter lim="800000"/>
                      <a:headEnd/>
                      <a:tailEnd/>
                    </a:ln>
                  </pic:spPr>
                </pic:pic>
              </a:graphicData>
            </a:graphic>
          </wp:anchor>
        </w:drawing>
      </w:r>
      <w:r w:rsidR="009A7A99" w:rsidRPr="007E3209">
        <w:rPr>
          <w:rFonts w:ascii="Calibri Light" w:eastAsia="Times New Roman" w:hAnsi="Calibri Light" w:cs="Times New Roman"/>
          <w:b/>
          <w:bCs/>
          <w:i/>
          <w:iCs/>
          <w:color w:val="333333"/>
          <w:sz w:val="24"/>
          <w:szCs w:val="24"/>
          <w:lang w:eastAsia="pl-PL"/>
        </w:rPr>
        <w:t>Dobrze przygotowana strategia niskoemisyjna, wpisująca się w ogólną politykę prowadzoną przez władze miejskie, może stanowić dla nich silny bodziec rozwojowy, który ma szanse wygenerować zmiany prowadzące do poprawy jakości życia mieszkańców.</w:t>
      </w:r>
      <w:r w:rsidR="009A7A99" w:rsidRPr="007E3209">
        <w:rPr>
          <w:rFonts w:ascii="Calibri Light" w:eastAsia="Times New Roman" w:hAnsi="Calibri Light" w:cs="Times New Roman"/>
          <w:color w:val="333333"/>
          <w:sz w:val="24"/>
          <w:szCs w:val="24"/>
          <w:lang w:eastAsia="pl-PL"/>
        </w:rPr>
        <w:br/>
      </w:r>
    </w:p>
    <w:p w:rsidR="009A7A99" w:rsidRPr="009A7A99" w:rsidRDefault="007E3209" w:rsidP="007E3209">
      <w:pPr>
        <w:spacing w:before="80" w:after="80" w:line="240" w:lineRule="auto"/>
        <w:jc w:val="both"/>
        <w:rPr>
          <w:rFonts w:ascii="Calibri Light" w:eastAsia="Times New Roman" w:hAnsi="Calibri Light" w:cs="Times New Roman"/>
          <w:color w:val="333333"/>
          <w:sz w:val="20"/>
          <w:szCs w:val="20"/>
          <w:lang w:eastAsia="pl-PL"/>
        </w:rPr>
      </w:pPr>
      <w:r>
        <w:rPr>
          <w:rFonts w:ascii="Calibri Light" w:eastAsia="Times New Roman" w:hAnsi="Calibri Light" w:cs="Times New Roman"/>
          <w:b/>
          <w:bCs/>
          <w:color w:val="333333"/>
          <w:sz w:val="20"/>
          <w:szCs w:val="20"/>
          <w:lang w:eastAsia="pl-PL"/>
        </w:rPr>
        <w:br/>
      </w:r>
      <w:r w:rsidR="009A7A99" w:rsidRPr="007E3209">
        <w:rPr>
          <w:rFonts w:ascii="Calibri Light" w:eastAsia="Times New Roman" w:hAnsi="Calibri Light" w:cs="Times New Roman"/>
          <w:b/>
          <w:bCs/>
          <w:color w:val="333333"/>
          <w:sz w:val="20"/>
          <w:szCs w:val="20"/>
          <w:lang w:eastAsia="pl-PL"/>
        </w:rPr>
        <w:t>Gdzie tkwi problem?</w:t>
      </w:r>
    </w:p>
    <w:p w:rsidR="009A7A99" w:rsidRPr="009A7A99" w:rsidRDefault="009A7A99" w:rsidP="007E3209">
      <w:pPr>
        <w:spacing w:before="80" w:after="80" w:line="240" w:lineRule="auto"/>
        <w:jc w:val="both"/>
        <w:rPr>
          <w:rFonts w:ascii="Calibri Light" w:eastAsia="Times New Roman" w:hAnsi="Calibri Light" w:cs="Times New Roman"/>
          <w:color w:val="333333"/>
          <w:sz w:val="20"/>
          <w:szCs w:val="20"/>
          <w:lang w:eastAsia="pl-PL"/>
        </w:rPr>
      </w:pPr>
      <w:r w:rsidRPr="009A7A99">
        <w:rPr>
          <w:rFonts w:ascii="Calibri Light" w:eastAsia="Times New Roman" w:hAnsi="Calibri Light" w:cs="Times New Roman"/>
          <w:color w:val="333333"/>
          <w:sz w:val="20"/>
          <w:szCs w:val="20"/>
          <w:lang w:eastAsia="pl-PL"/>
        </w:rPr>
        <w:t>Sektorami, które najbardziej przyczyniają się w polskich miastach do emisji gazów cieplarnianych oraz zużycia energii są budownictwo oraz transport. Jednocześnie, jak wskazują autorzy raportów, te same sektory mają największy potencjał zmian. Najbardziej ambitne plany zmian prezentują miasta metropolitalne. Do 2020 roku ma w nich nastąpić redukcja emisji gazów cieplarnianych o ok. 18% oraz zmniejszenie zużycia energii finalnej niemal o 12%.</w:t>
      </w:r>
    </w:p>
    <w:p w:rsidR="009A7A99" w:rsidRPr="009A7A99" w:rsidRDefault="009A7A99" w:rsidP="007E3209">
      <w:pPr>
        <w:spacing w:before="80" w:after="80" w:line="240" w:lineRule="auto"/>
        <w:jc w:val="both"/>
        <w:rPr>
          <w:rFonts w:ascii="Calibri Light" w:eastAsia="Times New Roman" w:hAnsi="Calibri Light" w:cs="Times New Roman"/>
          <w:color w:val="333333"/>
          <w:sz w:val="20"/>
          <w:szCs w:val="20"/>
          <w:lang w:eastAsia="pl-PL"/>
        </w:rPr>
      </w:pPr>
      <w:r w:rsidRPr="009A7A99">
        <w:rPr>
          <w:rFonts w:ascii="Calibri Light" w:eastAsia="Times New Roman" w:hAnsi="Calibri Light" w:cs="Times New Roman"/>
          <w:color w:val="333333"/>
          <w:sz w:val="20"/>
          <w:szCs w:val="20"/>
          <w:lang w:eastAsia="pl-PL"/>
        </w:rPr>
        <w:t xml:space="preserve">W grupie miast metropolitalnych emisja w przeliczeniu na jednego mieszkańca najwyższa jest w Katowicach </w:t>
      </w:r>
      <w:r w:rsidR="007E3209">
        <w:rPr>
          <w:rFonts w:ascii="Calibri Light" w:eastAsia="Times New Roman" w:hAnsi="Calibri Light" w:cs="Times New Roman"/>
          <w:color w:val="333333"/>
          <w:sz w:val="20"/>
          <w:szCs w:val="20"/>
          <w:lang w:eastAsia="pl-PL"/>
        </w:rPr>
        <w:br/>
      </w:r>
      <w:r w:rsidRPr="009A7A99">
        <w:rPr>
          <w:rFonts w:ascii="Calibri Light" w:eastAsia="Times New Roman" w:hAnsi="Calibri Light" w:cs="Times New Roman"/>
          <w:color w:val="333333"/>
          <w:sz w:val="20"/>
          <w:szCs w:val="20"/>
          <w:lang w:eastAsia="pl-PL"/>
        </w:rPr>
        <w:t xml:space="preserve">i Łodzi, natomiast najniższa w Gdyni i Toruniu. Lepiej jest kolejno w ośrodkach lokalnych, </w:t>
      </w:r>
      <w:proofErr w:type="spellStart"/>
      <w:r w:rsidRPr="009A7A99">
        <w:rPr>
          <w:rFonts w:ascii="Calibri Light" w:eastAsia="Times New Roman" w:hAnsi="Calibri Light" w:cs="Times New Roman"/>
          <w:color w:val="333333"/>
          <w:sz w:val="20"/>
          <w:szCs w:val="20"/>
          <w:lang w:eastAsia="pl-PL"/>
        </w:rPr>
        <w:t>subregionalnych</w:t>
      </w:r>
      <w:proofErr w:type="spellEnd"/>
      <w:r w:rsidRPr="009A7A99">
        <w:rPr>
          <w:rFonts w:ascii="Calibri Light" w:eastAsia="Times New Roman" w:hAnsi="Calibri Light" w:cs="Times New Roman"/>
          <w:color w:val="333333"/>
          <w:sz w:val="20"/>
          <w:szCs w:val="20"/>
          <w:lang w:eastAsia="pl-PL"/>
        </w:rPr>
        <w:t xml:space="preserve"> oraz regionalnych, które w najmniejszym stopniu są odpowiedzialne emisję gazów cieplarnianych.  Autorzy tłumaczą, że o</w:t>
      </w:r>
      <w:r w:rsidRPr="007E3209">
        <w:rPr>
          <w:rFonts w:ascii="Calibri Light" w:eastAsia="Times New Roman" w:hAnsi="Calibri Light" w:cs="Times New Roman"/>
          <w:i/>
          <w:iCs/>
          <w:color w:val="333333"/>
          <w:sz w:val="20"/>
          <w:szCs w:val="20"/>
          <w:lang w:eastAsia="pl-PL"/>
        </w:rPr>
        <w:t> </w:t>
      </w:r>
      <w:r w:rsidRPr="009A7A99">
        <w:rPr>
          <w:rFonts w:ascii="Calibri Light" w:eastAsia="Times New Roman" w:hAnsi="Calibri Light" w:cs="Times New Roman"/>
          <w:color w:val="333333"/>
          <w:sz w:val="20"/>
          <w:szCs w:val="20"/>
          <w:lang w:eastAsia="pl-PL"/>
        </w:rPr>
        <w:t>wyższej wartości średniego wskaźnika dla miast metropolitalnych decyduje fakt, że stanowią one główne centra działalności gospodarczej oraz charakteryzują się nasilonym ruchem komunikacyjnym.</w:t>
      </w:r>
    </w:p>
    <w:p w:rsidR="009A7A99" w:rsidRPr="009A7A99" w:rsidRDefault="009A7A99" w:rsidP="007E3209">
      <w:pPr>
        <w:spacing w:before="80" w:after="80" w:line="240" w:lineRule="auto"/>
        <w:jc w:val="both"/>
        <w:rPr>
          <w:rFonts w:ascii="Calibri Light" w:eastAsia="Times New Roman" w:hAnsi="Calibri Light" w:cs="Times New Roman"/>
          <w:color w:val="333333"/>
          <w:sz w:val="20"/>
          <w:szCs w:val="20"/>
          <w:lang w:eastAsia="pl-PL"/>
        </w:rPr>
      </w:pPr>
      <w:r w:rsidRPr="009A7A99">
        <w:rPr>
          <w:rFonts w:ascii="Calibri Light" w:eastAsia="Times New Roman" w:hAnsi="Calibri Light" w:cs="Times New Roman"/>
          <w:color w:val="333333"/>
          <w:sz w:val="20"/>
          <w:szCs w:val="20"/>
          <w:lang w:eastAsia="pl-PL"/>
        </w:rPr>
        <w:lastRenderedPageBreak/>
        <w:t xml:space="preserve">Jak wynika z raportu, udział sektora transportu w emisji w miastach metropolitalnych jest na poziomie ok. 27%. </w:t>
      </w:r>
      <w:r w:rsidRPr="007E3209">
        <w:rPr>
          <w:rFonts w:ascii="Calibri Light" w:eastAsia="Times New Roman" w:hAnsi="Calibri Light" w:cs="Times New Roman"/>
          <w:color w:val="333333"/>
          <w:sz w:val="20"/>
          <w:szCs w:val="20"/>
          <w:lang w:eastAsia="pl-PL"/>
        </w:rPr>
        <w:br/>
      </w:r>
      <w:r w:rsidRPr="009A7A99">
        <w:rPr>
          <w:rFonts w:ascii="Calibri Light" w:eastAsia="Times New Roman" w:hAnsi="Calibri Light" w:cs="Times New Roman"/>
          <w:color w:val="333333"/>
          <w:sz w:val="20"/>
          <w:szCs w:val="20"/>
          <w:lang w:eastAsia="pl-PL"/>
        </w:rPr>
        <w:t xml:space="preserve">W pozostałych ośrodkach udział ten jest niższy, w ośrodkach lokalnych wynosi 22%, a w ośrodkach regionalnych i </w:t>
      </w:r>
      <w:proofErr w:type="spellStart"/>
      <w:r w:rsidRPr="009A7A99">
        <w:rPr>
          <w:rFonts w:ascii="Calibri Light" w:eastAsia="Times New Roman" w:hAnsi="Calibri Light" w:cs="Times New Roman"/>
          <w:color w:val="333333"/>
          <w:sz w:val="20"/>
          <w:szCs w:val="20"/>
          <w:lang w:eastAsia="pl-PL"/>
        </w:rPr>
        <w:t>subregionalnych</w:t>
      </w:r>
      <w:proofErr w:type="spellEnd"/>
      <w:r w:rsidRPr="009A7A99">
        <w:rPr>
          <w:rFonts w:ascii="Calibri Light" w:eastAsia="Times New Roman" w:hAnsi="Calibri Light" w:cs="Times New Roman"/>
          <w:color w:val="333333"/>
          <w:sz w:val="20"/>
          <w:szCs w:val="20"/>
          <w:lang w:eastAsia="pl-PL"/>
        </w:rPr>
        <w:t xml:space="preserve"> kształtuje się na poziomie ok. 19–20%</w:t>
      </w:r>
      <w:r w:rsidRPr="007E3209">
        <w:rPr>
          <w:rFonts w:ascii="Calibri Light" w:eastAsia="Times New Roman" w:hAnsi="Calibri Light" w:cs="Times New Roman"/>
          <w:i/>
          <w:iCs/>
          <w:color w:val="333333"/>
          <w:sz w:val="20"/>
          <w:szCs w:val="20"/>
          <w:lang w:eastAsia="pl-PL"/>
        </w:rPr>
        <w:t>.</w:t>
      </w:r>
    </w:p>
    <w:p w:rsidR="009A7A99" w:rsidRPr="009A7A99" w:rsidRDefault="009A7A99" w:rsidP="007E3209">
      <w:pPr>
        <w:spacing w:before="80" w:after="80" w:line="240" w:lineRule="auto"/>
        <w:jc w:val="both"/>
        <w:rPr>
          <w:rFonts w:ascii="Calibri Light" w:eastAsia="Times New Roman" w:hAnsi="Calibri Light" w:cs="Times New Roman"/>
          <w:color w:val="333333"/>
          <w:sz w:val="20"/>
          <w:szCs w:val="20"/>
          <w:lang w:eastAsia="pl-PL"/>
        </w:rPr>
      </w:pPr>
      <w:r w:rsidRPr="009A7A99">
        <w:rPr>
          <w:rFonts w:ascii="Calibri Light" w:eastAsia="Times New Roman" w:hAnsi="Calibri Light" w:cs="Times New Roman"/>
          <w:color w:val="333333"/>
          <w:sz w:val="20"/>
          <w:szCs w:val="20"/>
          <w:lang w:eastAsia="pl-PL"/>
        </w:rPr>
        <w:t>Działania w ostatnich latach pozwoliły zbliżyć Polskę do średniej europejskiej w zakresie najważniejszych wskaźników efektywności energetycznej – dystans zmniejszył się do kilkunastu procent. Jednak autorzy raportu chłodzą przesadny optymizm. Zwracają uwagę,</w:t>
      </w:r>
      <w:r w:rsidRPr="007E3209">
        <w:rPr>
          <w:rFonts w:ascii="Calibri Light" w:eastAsia="Times New Roman" w:hAnsi="Calibri Light" w:cs="Times New Roman"/>
          <w:i/>
          <w:iCs/>
          <w:color w:val="333333"/>
          <w:sz w:val="20"/>
          <w:szCs w:val="20"/>
          <w:lang w:eastAsia="pl-PL"/>
        </w:rPr>
        <w:t> </w:t>
      </w:r>
      <w:r w:rsidRPr="009A7A99">
        <w:rPr>
          <w:rFonts w:ascii="Calibri Light" w:eastAsia="Times New Roman" w:hAnsi="Calibri Light" w:cs="Times New Roman"/>
          <w:color w:val="333333"/>
          <w:sz w:val="20"/>
          <w:szCs w:val="20"/>
          <w:lang w:eastAsia="pl-PL"/>
        </w:rPr>
        <w:t>że</w:t>
      </w:r>
      <w:r w:rsidRPr="007E3209">
        <w:rPr>
          <w:rFonts w:ascii="Calibri Light" w:eastAsia="Times New Roman" w:hAnsi="Calibri Light" w:cs="Times New Roman"/>
          <w:i/>
          <w:iCs/>
          <w:color w:val="333333"/>
          <w:sz w:val="20"/>
          <w:szCs w:val="20"/>
          <w:lang w:eastAsia="pl-PL"/>
        </w:rPr>
        <w:t> </w:t>
      </w:r>
      <w:r w:rsidRPr="009A7A99">
        <w:rPr>
          <w:rFonts w:ascii="Calibri Light" w:eastAsia="Times New Roman" w:hAnsi="Calibri Light" w:cs="Times New Roman"/>
          <w:color w:val="333333"/>
          <w:sz w:val="20"/>
          <w:szCs w:val="20"/>
          <w:lang w:eastAsia="pl-PL"/>
        </w:rPr>
        <w:t>w stosunku do najefektywniejszych gospodarek dystans ten ciągle pozostaje znaczący. Największe redukcje emisji gazów cieplarnianych, na poziomie ok. 18% do roku 2020, planują osiągnąć miasta metropolitalne. Wiąże się to również z poniesieniem przez nie największych nakładów finansowych na ten cel.</w:t>
      </w:r>
    </w:p>
    <w:p w:rsidR="009A7A99" w:rsidRPr="009A7A99" w:rsidRDefault="009F4851" w:rsidP="007E3209">
      <w:pPr>
        <w:spacing w:before="80" w:after="80" w:line="240" w:lineRule="auto"/>
        <w:jc w:val="both"/>
        <w:rPr>
          <w:rFonts w:ascii="Calibri Light" w:eastAsia="Times New Roman" w:hAnsi="Calibri Light" w:cs="Times New Roman"/>
          <w:color w:val="333333"/>
          <w:sz w:val="14"/>
          <w:szCs w:val="14"/>
          <w:lang w:eastAsia="pl-PL"/>
        </w:rPr>
      </w:pPr>
      <w:r>
        <w:rPr>
          <w:rFonts w:ascii="Calibri Light" w:eastAsia="Times New Roman" w:hAnsi="Calibri Light" w:cs="Times New Roman"/>
          <w:noProof/>
          <w:color w:val="333333"/>
          <w:sz w:val="20"/>
          <w:szCs w:val="20"/>
          <w:lang w:eastAsia="pl-PL"/>
        </w:rPr>
        <w:drawing>
          <wp:anchor distT="0" distB="0" distL="114300" distR="114300" simplePos="0" relativeHeight="251659264" behindDoc="1" locked="0" layoutInCell="1" allowOverlap="1">
            <wp:simplePos x="0" y="0"/>
            <wp:positionH relativeFrom="column">
              <wp:posOffset>-20955</wp:posOffset>
            </wp:positionH>
            <wp:positionV relativeFrom="paragraph">
              <wp:posOffset>950595</wp:posOffset>
            </wp:positionV>
            <wp:extent cx="890905" cy="821690"/>
            <wp:effectExtent l="19050" t="0" r="4445" b="0"/>
            <wp:wrapTight wrapText="bothSides">
              <wp:wrapPolygon edited="0">
                <wp:start x="-462" y="0"/>
                <wp:lineTo x="-462" y="8012"/>
                <wp:lineTo x="1386" y="16025"/>
                <wp:lineTo x="-462" y="17527"/>
                <wp:lineTo x="924" y="21032"/>
                <wp:lineTo x="16165" y="21032"/>
                <wp:lineTo x="16627" y="21032"/>
                <wp:lineTo x="21246" y="16526"/>
                <wp:lineTo x="21246" y="16025"/>
                <wp:lineTo x="21708" y="10015"/>
                <wp:lineTo x="21708" y="0"/>
                <wp:lineTo x="-462" y="0"/>
              </wp:wrapPolygon>
            </wp:wrapTight>
            <wp:docPr id="3" name="Obraz 2" descr="cytaty-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taty-min"/>
                    <pic:cNvPicPr>
                      <a:picLocks noChangeAspect="1" noChangeArrowheads="1"/>
                    </pic:cNvPicPr>
                  </pic:nvPicPr>
                  <pic:blipFill>
                    <a:blip r:embed="rId5" cstate="print"/>
                    <a:srcRect/>
                    <a:stretch>
                      <a:fillRect/>
                    </a:stretch>
                  </pic:blipFill>
                  <pic:spPr bwMode="auto">
                    <a:xfrm>
                      <a:off x="0" y="0"/>
                      <a:ext cx="890905" cy="821690"/>
                    </a:xfrm>
                    <a:prstGeom prst="rect">
                      <a:avLst/>
                    </a:prstGeom>
                    <a:noFill/>
                    <a:ln w="9525">
                      <a:noFill/>
                      <a:miter lim="800000"/>
                      <a:headEnd/>
                      <a:tailEnd/>
                    </a:ln>
                  </pic:spPr>
                </pic:pic>
              </a:graphicData>
            </a:graphic>
          </wp:anchor>
        </w:drawing>
      </w:r>
      <w:r w:rsidR="009A7A99" w:rsidRPr="009A7A99">
        <w:rPr>
          <w:rFonts w:ascii="Calibri Light" w:eastAsia="Times New Roman" w:hAnsi="Calibri Light" w:cs="Times New Roman"/>
          <w:color w:val="333333"/>
          <w:sz w:val="20"/>
          <w:szCs w:val="20"/>
          <w:lang w:eastAsia="pl-PL"/>
        </w:rPr>
        <w:t xml:space="preserve">Wśród przedsięwzięć w sektorze budynków użyteczności publicznej i mieszkalnych dominują modernizacje źródeł ciepła i energii, w tym: wymiana </w:t>
      </w:r>
      <w:proofErr w:type="spellStart"/>
      <w:r w:rsidR="009A7A99" w:rsidRPr="009A7A99">
        <w:rPr>
          <w:rFonts w:ascii="Calibri Light" w:eastAsia="Times New Roman" w:hAnsi="Calibri Light" w:cs="Times New Roman"/>
          <w:color w:val="333333"/>
          <w:sz w:val="20"/>
          <w:szCs w:val="20"/>
          <w:lang w:eastAsia="pl-PL"/>
        </w:rPr>
        <w:t>niskosprawnych</w:t>
      </w:r>
      <w:proofErr w:type="spellEnd"/>
      <w:r w:rsidR="009A7A99" w:rsidRPr="009A7A99">
        <w:rPr>
          <w:rFonts w:ascii="Calibri Light" w:eastAsia="Times New Roman" w:hAnsi="Calibri Light" w:cs="Times New Roman"/>
          <w:color w:val="333333"/>
          <w:sz w:val="20"/>
          <w:szCs w:val="20"/>
          <w:lang w:eastAsia="pl-PL"/>
        </w:rPr>
        <w:t xml:space="preserve"> (węglowych) źródeł ciepła na źródła wysokosprawne, </w:t>
      </w:r>
      <w:r w:rsidR="007E3209">
        <w:rPr>
          <w:rFonts w:ascii="Calibri Light" w:eastAsia="Times New Roman" w:hAnsi="Calibri Light" w:cs="Times New Roman"/>
          <w:color w:val="333333"/>
          <w:sz w:val="20"/>
          <w:szCs w:val="20"/>
          <w:lang w:eastAsia="pl-PL"/>
        </w:rPr>
        <w:br/>
      </w:r>
      <w:r w:rsidR="009A7A99" w:rsidRPr="009A7A99">
        <w:rPr>
          <w:rFonts w:ascii="Calibri Light" w:eastAsia="Times New Roman" w:hAnsi="Calibri Light" w:cs="Times New Roman"/>
          <w:color w:val="333333"/>
          <w:sz w:val="20"/>
          <w:szCs w:val="20"/>
          <w:lang w:eastAsia="pl-PL"/>
        </w:rPr>
        <w:t xml:space="preserve">o obniżonej emisyjności, substytucja paliw (na bardziej ekologiczne), podłączenia do miejskich sieci ciepłowniczych, termomodernizacja budynków, wymiana oświetlenia na bardziej nowoczesne </w:t>
      </w:r>
      <w:r w:rsidR="009A7A99" w:rsidRPr="007E3209">
        <w:rPr>
          <w:rFonts w:ascii="Calibri Light" w:eastAsia="Times New Roman" w:hAnsi="Calibri Light" w:cs="Times New Roman"/>
          <w:color w:val="333333"/>
          <w:sz w:val="20"/>
          <w:szCs w:val="20"/>
          <w:lang w:eastAsia="pl-PL"/>
        </w:rPr>
        <w:br/>
      </w:r>
      <w:r w:rsidR="009A7A99" w:rsidRPr="009A7A99">
        <w:rPr>
          <w:rFonts w:ascii="Calibri Light" w:eastAsia="Times New Roman" w:hAnsi="Calibri Light" w:cs="Times New Roman"/>
          <w:color w:val="333333"/>
          <w:sz w:val="20"/>
          <w:szCs w:val="20"/>
          <w:lang w:eastAsia="pl-PL"/>
        </w:rPr>
        <w:t>i energooszczędne (również urządzeń gospodarstwa domowego), montaż instalacji OZE oraz kompleksowe modernizacje energetyczne</w:t>
      </w:r>
      <w:r w:rsidR="009A7A99" w:rsidRPr="009A7A99">
        <w:rPr>
          <w:rFonts w:ascii="Calibri Light" w:eastAsia="Times New Roman" w:hAnsi="Calibri Light" w:cs="Times New Roman"/>
          <w:color w:val="333333"/>
          <w:sz w:val="14"/>
          <w:szCs w:val="14"/>
          <w:lang w:eastAsia="pl-PL"/>
        </w:rPr>
        <w:t>.</w:t>
      </w:r>
    </w:p>
    <w:p w:rsidR="009A7A99" w:rsidRPr="007E3209" w:rsidRDefault="009A7A99" w:rsidP="007E3209">
      <w:pPr>
        <w:spacing w:before="80" w:after="80" w:line="240" w:lineRule="auto"/>
        <w:rPr>
          <w:rFonts w:ascii="Calibri Light" w:eastAsia="Times New Roman" w:hAnsi="Calibri Light" w:cs="Times New Roman"/>
          <w:b/>
          <w:bCs/>
          <w:i/>
          <w:iCs/>
          <w:color w:val="333333"/>
          <w:sz w:val="24"/>
          <w:szCs w:val="24"/>
          <w:lang w:eastAsia="pl-PL"/>
        </w:rPr>
      </w:pPr>
      <w:r w:rsidRPr="007E3209">
        <w:rPr>
          <w:rFonts w:ascii="Calibri Light" w:eastAsia="Times New Roman" w:hAnsi="Calibri Light" w:cs="Times New Roman"/>
          <w:b/>
          <w:bCs/>
          <w:i/>
          <w:iCs/>
          <w:color w:val="333333"/>
          <w:sz w:val="24"/>
          <w:szCs w:val="24"/>
          <w:lang w:eastAsia="pl-PL"/>
        </w:rPr>
        <w:t>Sektor publiczny powinien być przykładem do naśladowania. Analizy wykazują, że nadal istnieje duży potencjał w zakresie oszczędności energii w sektorze budynków administracji publicznej, stąd rekomenduje się zintensyfikowanie działań w tym obszarze.</w:t>
      </w:r>
      <w:r w:rsidRPr="007E3209">
        <w:rPr>
          <w:rFonts w:ascii="Calibri Light" w:eastAsia="Times New Roman" w:hAnsi="Calibri Light" w:cs="Times New Roman"/>
          <w:b/>
          <w:bCs/>
          <w:i/>
          <w:iCs/>
          <w:color w:val="333333"/>
          <w:sz w:val="24"/>
          <w:szCs w:val="24"/>
          <w:lang w:eastAsia="pl-PL"/>
        </w:rPr>
        <w:br/>
      </w:r>
    </w:p>
    <w:p w:rsidR="009A7A99" w:rsidRPr="009A7A99" w:rsidRDefault="009A7A99" w:rsidP="007E3209">
      <w:pPr>
        <w:spacing w:before="80" w:after="80" w:line="240" w:lineRule="auto"/>
        <w:rPr>
          <w:rFonts w:ascii="Calibri Light" w:eastAsia="Times New Roman" w:hAnsi="Calibri Light" w:cs="Times New Roman"/>
          <w:b/>
          <w:bCs/>
          <w:color w:val="333333"/>
          <w:sz w:val="20"/>
          <w:szCs w:val="20"/>
          <w:lang w:eastAsia="pl-PL"/>
        </w:rPr>
      </w:pPr>
      <w:r w:rsidRPr="007E3209">
        <w:rPr>
          <w:rFonts w:ascii="Calibri Light" w:eastAsia="Times New Roman" w:hAnsi="Calibri Light" w:cs="Times New Roman"/>
          <w:b/>
          <w:bCs/>
          <w:color w:val="333333"/>
          <w:sz w:val="20"/>
          <w:szCs w:val="20"/>
          <w:lang w:eastAsia="pl-PL"/>
        </w:rPr>
        <w:t>Polityka bez danych</w:t>
      </w:r>
    </w:p>
    <w:p w:rsidR="009A7A99" w:rsidRPr="009A7A99" w:rsidRDefault="009A7A99" w:rsidP="007E3209">
      <w:pPr>
        <w:spacing w:before="80" w:after="80" w:line="240" w:lineRule="auto"/>
        <w:jc w:val="both"/>
        <w:rPr>
          <w:rFonts w:ascii="Calibri Light" w:eastAsia="Times New Roman" w:hAnsi="Calibri Light" w:cs="Times New Roman"/>
          <w:color w:val="333333"/>
          <w:sz w:val="20"/>
          <w:szCs w:val="20"/>
          <w:lang w:eastAsia="pl-PL"/>
        </w:rPr>
      </w:pPr>
      <w:r w:rsidRPr="009A7A99">
        <w:rPr>
          <w:rFonts w:ascii="Calibri Light" w:eastAsia="Times New Roman" w:hAnsi="Calibri Light" w:cs="Times New Roman"/>
          <w:color w:val="333333"/>
          <w:sz w:val="20"/>
          <w:szCs w:val="20"/>
          <w:lang w:eastAsia="pl-PL"/>
        </w:rPr>
        <w:t xml:space="preserve">Metodyka monitorowania i sprawozdawczości została jednoznacznie określona dla dokumentów SEAP oraz pozostawiona do indywidualnej decyzji miast w przypadku </w:t>
      </w:r>
      <w:proofErr w:type="spellStart"/>
      <w:r w:rsidRPr="009A7A99">
        <w:rPr>
          <w:rFonts w:ascii="Calibri Light" w:eastAsia="Times New Roman" w:hAnsi="Calibri Light" w:cs="Times New Roman"/>
          <w:color w:val="333333"/>
          <w:sz w:val="20"/>
          <w:szCs w:val="20"/>
          <w:lang w:eastAsia="pl-PL"/>
        </w:rPr>
        <w:t>PGN-ów</w:t>
      </w:r>
      <w:proofErr w:type="spellEnd"/>
      <w:r w:rsidRPr="009A7A99">
        <w:rPr>
          <w:rFonts w:ascii="Calibri Light" w:eastAsia="Times New Roman" w:hAnsi="Calibri Light" w:cs="Times New Roman"/>
          <w:color w:val="333333"/>
          <w:sz w:val="20"/>
          <w:szCs w:val="20"/>
          <w:lang w:eastAsia="pl-PL"/>
        </w:rPr>
        <w:t>. Według autorów raportu niesie to ze sobą ryzyko, że samorządy ograniczą się tylko do monitorowania prostych wskaźników, a zrezygnują z trudniejszych, np. wskaźników rezultatu.</w:t>
      </w:r>
    </w:p>
    <w:p w:rsidR="009A7A99" w:rsidRPr="009A7A99" w:rsidRDefault="009A7A99" w:rsidP="007E3209">
      <w:pPr>
        <w:spacing w:before="80" w:after="80" w:line="240" w:lineRule="auto"/>
        <w:jc w:val="both"/>
        <w:rPr>
          <w:rFonts w:ascii="Calibri Light" w:eastAsia="Times New Roman" w:hAnsi="Calibri Light" w:cs="Times New Roman"/>
          <w:color w:val="333333"/>
          <w:sz w:val="20"/>
          <w:szCs w:val="20"/>
          <w:lang w:eastAsia="pl-PL"/>
        </w:rPr>
      </w:pPr>
      <w:r w:rsidRPr="009A7A99">
        <w:rPr>
          <w:rFonts w:ascii="Calibri Light" w:eastAsia="Times New Roman" w:hAnsi="Calibri Light" w:cs="Times New Roman"/>
          <w:color w:val="333333"/>
          <w:sz w:val="20"/>
          <w:szCs w:val="20"/>
          <w:lang w:eastAsia="pl-PL"/>
        </w:rPr>
        <w:t>Jednak problem dotyczy również dostępności do danych. Autorzy widzą potrzebę rozszerzenia krajowej statystyki Głównego Urzędu Statystycznego o wskaźniki, np. dotyczące udziału energii ze źródeł odnawialnych w zużyciu paliw w transporcie [%] oraz  w końcowym zużyciu energii brutto [%],  odsetka odbiorców posiadających inteligentny licznik energii [%]. Obecnie są one opracowywane jedynie na poziomie kraju lub województwa</w:t>
      </w:r>
      <w:r w:rsidRPr="007E3209">
        <w:rPr>
          <w:rFonts w:ascii="Calibri Light" w:eastAsia="Times New Roman" w:hAnsi="Calibri Light" w:cs="Times New Roman"/>
          <w:i/>
          <w:iCs/>
          <w:color w:val="333333"/>
          <w:sz w:val="20"/>
          <w:szCs w:val="20"/>
          <w:lang w:eastAsia="pl-PL"/>
        </w:rPr>
        <w:t>. </w:t>
      </w:r>
      <w:r w:rsidRPr="009A7A99">
        <w:rPr>
          <w:rFonts w:ascii="Calibri Light" w:eastAsia="Times New Roman" w:hAnsi="Calibri Light" w:cs="Times New Roman"/>
          <w:color w:val="333333"/>
          <w:sz w:val="20"/>
          <w:szCs w:val="20"/>
          <w:lang w:eastAsia="pl-PL"/>
        </w:rPr>
        <w:t>Ponadto, wskaźnikiem, który powinien być według autorów włączony do statystyki publicznej, jest zużycie energii przez budynki publiczne na rok [</w:t>
      </w:r>
      <w:proofErr w:type="spellStart"/>
      <w:r w:rsidRPr="009A7A99">
        <w:rPr>
          <w:rFonts w:ascii="Calibri Light" w:eastAsia="Times New Roman" w:hAnsi="Calibri Light" w:cs="Times New Roman"/>
          <w:color w:val="333333"/>
          <w:sz w:val="20"/>
          <w:szCs w:val="20"/>
          <w:lang w:eastAsia="pl-PL"/>
        </w:rPr>
        <w:t>kWh</w:t>
      </w:r>
      <w:proofErr w:type="spellEnd"/>
      <w:r w:rsidRPr="009A7A99">
        <w:rPr>
          <w:rFonts w:ascii="Calibri Light" w:eastAsia="Times New Roman" w:hAnsi="Calibri Light" w:cs="Times New Roman"/>
          <w:color w:val="333333"/>
          <w:sz w:val="20"/>
          <w:szCs w:val="20"/>
          <w:lang w:eastAsia="pl-PL"/>
        </w:rPr>
        <w:t>/m2].</w:t>
      </w:r>
    </w:p>
    <w:p w:rsidR="009A7A99" w:rsidRPr="009A7A99" w:rsidRDefault="009A7A99" w:rsidP="007E3209">
      <w:pPr>
        <w:spacing w:before="80" w:after="80" w:line="240" w:lineRule="auto"/>
        <w:outlineLvl w:val="4"/>
        <w:rPr>
          <w:rFonts w:ascii="Calibri Light" w:eastAsia="Times New Roman" w:hAnsi="Calibri Light" w:cs="Times New Roman"/>
          <w:b/>
          <w:bCs/>
          <w:color w:val="333333"/>
          <w:sz w:val="20"/>
          <w:szCs w:val="20"/>
          <w:lang w:eastAsia="pl-PL"/>
        </w:rPr>
      </w:pPr>
      <w:r w:rsidRPr="007E3209">
        <w:rPr>
          <w:rFonts w:ascii="Calibri Light" w:eastAsia="Times New Roman" w:hAnsi="Calibri Light" w:cs="Times New Roman"/>
          <w:b/>
          <w:bCs/>
          <w:color w:val="333333"/>
          <w:sz w:val="20"/>
          <w:szCs w:val="20"/>
          <w:lang w:eastAsia="pl-PL"/>
        </w:rPr>
        <w:t>Partycypacja</w:t>
      </w:r>
    </w:p>
    <w:p w:rsidR="009A7A99" w:rsidRPr="009A7A99" w:rsidRDefault="009A7A99" w:rsidP="007E3209">
      <w:pPr>
        <w:spacing w:before="80" w:after="80" w:line="240" w:lineRule="auto"/>
        <w:jc w:val="both"/>
        <w:rPr>
          <w:rFonts w:ascii="Calibri Light" w:eastAsia="Times New Roman" w:hAnsi="Calibri Light" w:cs="Times New Roman"/>
          <w:color w:val="333333"/>
          <w:sz w:val="20"/>
          <w:szCs w:val="20"/>
          <w:lang w:eastAsia="pl-PL"/>
        </w:rPr>
      </w:pPr>
      <w:r w:rsidRPr="009A7A99">
        <w:rPr>
          <w:rFonts w:ascii="Calibri Light" w:eastAsia="Times New Roman" w:hAnsi="Calibri Light" w:cs="Times New Roman"/>
          <w:color w:val="333333"/>
          <w:sz w:val="20"/>
          <w:szCs w:val="20"/>
          <w:lang w:eastAsia="pl-PL"/>
        </w:rPr>
        <w:t xml:space="preserve">Chociaż Krajowa Polityka Miejska jednoznacznie wskazała, że istotnym elementem podnoszenia jakości </w:t>
      </w:r>
      <w:r w:rsidR="007E3209">
        <w:rPr>
          <w:rFonts w:ascii="Calibri Light" w:eastAsia="Times New Roman" w:hAnsi="Calibri Light" w:cs="Times New Roman"/>
          <w:color w:val="333333"/>
          <w:sz w:val="20"/>
          <w:szCs w:val="20"/>
          <w:lang w:eastAsia="pl-PL"/>
        </w:rPr>
        <w:br/>
      </w:r>
      <w:r w:rsidRPr="009A7A99">
        <w:rPr>
          <w:rFonts w:ascii="Calibri Light" w:eastAsia="Times New Roman" w:hAnsi="Calibri Light" w:cs="Times New Roman"/>
          <w:color w:val="333333"/>
          <w:sz w:val="20"/>
          <w:szCs w:val="20"/>
          <w:lang w:eastAsia="pl-PL"/>
        </w:rPr>
        <w:t>i efektywności zarządzania miastem jest wspieranie i rozwój mechanizmów partycypacji społecznej, to nie jest to praktykowane przy sporządzaniu dokumentów strategicznych. Widać to m.in. na przykładzie dokumentów dotyczących niskoemisyjności.</w:t>
      </w:r>
    </w:p>
    <w:p w:rsidR="009A7A99" w:rsidRDefault="009A7A99" w:rsidP="007E3209">
      <w:pPr>
        <w:spacing w:before="80" w:after="80" w:line="240" w:lineRule="auto"/>
        <w:jc w:val="both"/>
        <w:rPr>
          <w:rFonts w:ascii="Calibri Light" w:eastAsia="Times New Roman" w:hAnsi="Calibri Light" w:cs="Times New Roman"/>
          <w:color w:val="333333"/>
          <w:sz w:val="20"/>
          <w:szCs w:val="20"/>
          <w:lang w:eastAsia="pl-PL"/>
        </w:rPr>
      </w:pPr>
      <w:r w:rsidRPr="009A7A99">
        <w:rPr>
          <w:rFonts w:ascii="Calibri Light" w:eastAsia="Times New Roman" w:hAnsi="Calibri Light" w:cs="Times New Roman"/>
          <w:color w:val="333333"/>
          <w:sz w:val="20"/>
          <w:szCs w:val="20"/>
          <w:lang w:eastAsia="pl-PL"/>
        </w:rPr>
        <w:t xml:space="preserve">Władze lokalne nie widzą korzyści z angażowania mieszkańców. Jeżeli decydują na konsultowanie opracowywanych </w:t>
      </w:r>
      <w:proofErr w:type="spellStart"/>
      <w:r w:rsidRPr="009A7A99">
        <w:rPr>
          <w:rFonts w:ascii="Calibri Light" w:eastAsia="Times New Roman" w:hAnsi="Calibri Light" w:cs="Times New Roman"/>
          <w:color w:val="333333"/>
          <w:sz w:val="20"/>
          <w:szCs w:val="20"/>
          <w:lang w:eastAsia="pl-PL"/>
        </w:rPr>
        <w:t>PGN-ów</w:t>
      </w:r>
      <w:proofErr w:type="spellEnd"/>
      <w:r w:rsidRPr="009A7A99">
        <w:rPr>
          <w:rFonts w:ascii="Calibri Light" w:eastAsia="Times New Roman" w:hAnsi="Calibri Light" w:cs="Times New Roman"/>
          <w:color w:val="333333"/>
          <w:sz w:val="20"/>
          <w:szCs w:val="20"/>
          <w:lang w:eastAsia="pl-PL"/>
        </w:rPr>
        <w:t xml:space="preserve"> to przeważnie komunikacja jest ograniczana do Internetu. Spotkania konsultacyjne oraz edukacyjne rzadko są wykorzystywane.  Dlatego udział mieszkańców w opracowaniu dokumentów został często ograniczony. Autorzy raportu przekonują, że</w:t>
      </w:r>
      <w:r w:rsidRPr="007E3209">
        <w:rPr>
          <w:rFonts w:ascii="Calibri Light" w:eastAsia="Times New Roman" w:hAnsi="Calibri Light" w:cs="Times New Roman"/>
          <w:i/>
          <w:iCs/>
          <w:color w:val="333333"/>
          <w:sz w:val="20"/>
          <w:szCs w:val="20"/>
          <w:lang w:eastAsia="pl-PL"/>
        </w:rPr>
        <w:t> </w:t>
      </w:r>
      <w:r w:rsidRPr="009A7A99">
        <w:rPr>
          <w:rFonts w:ascii="Calibri Light" w:eastAsia="Times New Roman" w:hAnsi="Calibri Light" w:cs="Times New Roman"/>
          <w:color w:val="333333"/>
          <w:sz w:val="20"/>
          <w:szCs w:val="20"/>
          <w:lang w:eastAsia="pl-PL"/>
        </w:rPr>
        <w:t>powodzenie w przejściu na gospodarkę niskoemisyjną uzależnione jest w dużej mierze od poziomu zaangażowania w cały proces mieszkańców miast.</w:t>
      </w:r>
    </w:p>
    <w:p w:rsidR="007E3209" w:rsidRDefault="007E3209" w:rsidP="007E3209">
      <w:pPr>
        <w:spacing w:before="80" w:after="80" w:line="240" w:lineRule="auto"/>
        <w:jc w:val="both"/>
        <w:rPr>
          <w:rFonts w:ascii="Calibri Light" w:eastAsia="Times New Roman" w:hAnsi="Calibri Light" w:cs="Times New Roman"/>
          <w:color w:val="333333"/>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7E3209" w:rsidTr="007E3209">
        <w:tc>
          <w:tcPr>
            <w:tcW w:w="4606" w:type="dxa"/>
          </w:tcPr>
          <w:p w:rsidR="007E3209" w:rsidRDefault="007E3209" w:rsidP="007E3209">
            <w:pPr>
              <w:spacing w:before="80" w:after="80"/>
              <w:jc w:val="both"/>
              <w:rPr>
                <w:rFonts w:ascii="Calibri Light" w:eastAsia="Times New Roman" w:hAnsi="Calibri Light" w:cs="Times New Roman"/>
                <w:color w:val="333333"/>
                <w:sz w:val="20"/>
                <w:szCs w:val="20"/>
                <w:lang w:eastAsia="pl-PL"/>
              </w:rPr>
            </w:pPr>
            <w:r w:rsidRPr="007E3209">
              <w:rPr>
                <w:rFonts w:ascii="Calibri Light" w:hAnsi="Calibri Light"/>
                <w:b/>
                <w:color w:val="ED7D31"/>
              </w:rPr>
              <w:t>KONTAKT:</w:t>
            </w:r>
          </w:p>
        </w:tc>
        <w:tc>
          <w:tcPr>
            <w:tcW w:w="4606" w:type="dxa"/>
          </w:tcPr>
          <w:p w:rsidR="007E3209" w:rsidRDefault="007E3209" w:rsidP="007E3209">
            <w:pPr>
              <w:spacing w:before="80" w:after="80"/>
              <w:jc w:val="both"/>
              <w:rPr>
                <w:rFonts w:ascii="Calibri Light" w:eastAsia="Times New Roman" w:hAnsi="Calibri Light" w:cs="Times New Roman"/>
                <w:color w:val="333333"/>
                <w:sz w:val="20"/>
                <w:szCs w:val="20"/>
                <w:lang w:eastAsia="pl-PL"/>
              </w:rPr>
            </w:pPr>
          </w:p>
        </w:tc>
      </w:tr>
      <w:tr w:rsidR="007E3209" w:rsidRPr="007E3209" w:rsidTr="007E3209">
        <w:trPr>
          <w:trHeight w:val="506"/>
        </w:trPr>
        <w:tc>
          <w:tcPr>
            <w:tcW w:w="4606" w:type="dxa"/>
          </w:tcPr>
          <w:p w:rsidR="007E3209" w:rsidRPr="007E3209" w:rsidRDefault="007E3209" w:rsidP="007E3209">
            <w:pPr>
              <w:rPr>
                <w:rFonts w:ascii="Calibri Light" w:hAnsi="Calibri Light"/>
              </w:rPr>
            </w:pPr>
            <w:r w:rsidRPr="007E3209">
              <w:rPr>
                <w:rFonts w:ascii="Calibri Light" w:hAnsi="Calibri Light"/>
                <w:b/>
              </w:rPr>
              <w:t>Karol Janas</w:t>
            </w:r>
            <w:r w:rsidRPr="007E3209">
              <w:rPr>
                <w:rFonts w:ascii="Calibri Light" w:hAnsi="Calibri Light"/>
              </w:rPr>
              <w:t xml:space="preserve"> </w:t>
            </w:r>
          </w:p>
          <w:p w:rsidR="007E3209" w:rsidRPr="009F4851" w:rsidRDefault="007E3209" w:rsidP="007E3209">
            <w:pPr>
              <w:rPr>
                <w:rFonts w:ascii="Calibri Light" w:eastAsia="Times New Roman" w:hAnsi="Calibri Light" w:cs="Times New Roman"/>
                <w:sz w:val="20"/>
                <w:szCs w:val="20"/>
                <w:lang w:eastAsia="pl-PL"/>
              </w:rPr>
            </w:pPr>
            <w:r w:rsidRPr="007E3209">
              <w:rPr>
                <w:rFonts w:ascii="Calibri Light" w:hAnsi="Calibri Light"/>
              </w:rPr>
              <w:t xml:space="preserve">Kierownik Obserwatorium Polityki Miejskiej </w:t>
            </w:r>
            <w:r w:rsidR="009F4851">
              <w:rPr>
                <w:rFonts w:ascii="Calibri Light" w:hAnsi="Calibri Light"/>
              </w:rPr>
              <w:t>IRM</w:t>
            </w:r>
          </w:p>
        </w:tc>
        <w:tc>
          <w:tcPr>
            <w:tcW w:w="4606" w:type="dxa"/>
          </w:tcPr>
          <w:p w:rsidR="007E3209" w:rsidRPr="007E3209" w:rsidRDefault="007E3209" w:rsidP="009F4851">
            <w:pPr>
              <w:ind w:left="497"/>
              <w:rPr>
                <w:rFonts w:ascii="Calibri Light" w:hAnsi="Calibri Light"/>
                <w:b/>
              </w:rPr>
            </w:pPr>
            <w:r w:rsidRPr="007E3209">
              <w:rPr>
                <w:rFonts w:ascii="Calibri Light" w:hAnsi="Calibri Light"/>
                <w:b/>
              </w:rPr>
              <w:t xml:space="preserve">Iwona </w:t>
            </w:r>
            <w:proofErr w:type="spellStart"/>
            <w:r w:rsidRPr="007E3209">
              <w:rPr>
                <w:rFonts w:ascii="Calibri Light" w:hAnsi="Calibri Light"/>
                <w:b/>
              </w:rPr>
              <w:t>Rackiewicz</w:t>
            </w:r>
            <w:proofErr w:type="spellEnd"/>
          </w:p>
          <w:p w:rsidR="007E3209" w:rsidRPr="007E3209" w:rsidRDefault="007E3209" w:rsidP="009F4851">
            <w:pPr>
              <w:ind w:left="497"/>
              <w:rPr>
                <w:rFonts w:ascii="Calibri Light" w:eastAsia="Times New Roman" w:hAnsi="Calibri Light" w:cs="Times New Roman"/>
                <w:color w:val="333333"/>
                <w:sz w:val="20"/>
                <w:szCs w:val="20"/>
                <w:lang w:eastAsia="pl-PL"/>
              </w:rPr>
            </w:pPr>
            <w:r>
              <w:rPr>
                <w:rFonts w:ascii="Calibri Light" w:hAnsi="Calibri Light"/>
              </w:rPr>
              <w:t xml:space="preserve">Redaktor raportu, </w:t>
            </w:r>
            <w:r w:rsidRPr="007E3209">
              <w:rPr>
                <w:rFonts w:ascii="Calibri Light" w:hAnsi="Calibri Light"/>
              </w:rPr>
              <w:t>ATMOTERM S.A.</w:t>
            </w:r>
          </w:p>
        </w:tc>
      </w:tr>
      <w:tr w:rsidR="007E3209" w:rsidRPr="007E3209" w:rsidTr="007E3209">
        <w:trPr>
          <w:trHeight w:val="672"/>
        </w:trPr>
        <w:tc>
          <w:tcPr>
            <w:tcW w:w="4606" w:type="dxa"/>
          </w:tcPr>
          <w:p w:rsidR="007E3209" w:rsidRPr="007E3209" w:rsidRDefault="007E3209" w:rsidP="007E3209">
            <w:pPr>
              <w:rPr>
                <w:rFonts w:ascii="Calibri Light" w:hAnsi="Calibri Light"/>
                <w:sz w:val="10"/>
                <w:szCs w:val="10"/>
                <w:lang w:val="en-US"/>
              </w:rPr>
            </w:pPr>
          </w:p>
          <w:p w:rsidR="007E3209" w:rsidRPr="007E3209" w:rsidRDefault="007E3209" w:rsidP="007E3209">
            <w:pPr>
              <w:rPr>
                <w:rFonts w:ascii="Calibri Light" w:hAnsi="Calibri Light"/>
                <w:lang w:val="en-US"/>
              </w:rPr>
            </w:pPr>
            <w:r w:rsidRPr="007E3209">
              <w:rPr>
                <w:rFonts w:ascii="Calibri Light" w:hAnsi="Calibri Light"/>
                <w:lang w:val="en-US"/>
              </w:rPr>
              <w:t xml:space="preserve">tel.: (+48) 12 634 29 53, </w:t>
            </w:r>
            <w:proofErr w:type="spellStart"/>
            <w:r w:rsidRPr="007E3209">
              <w:rPr>
                <w:rFonts w:ascii="Calibri Light" w:hAnsi="Calibri Light"/>
                <w:lang w:val="en-US"/>
              </w:rPr>
              <w:t>wew</w:t>
            </w:r>
            <w:proofErr w:type="spellEnd"/>
            <w:r w:rsidRPr="007E3209">
              <w:rPr>
                <w:rFonts w:ascii="Calibri Light" w:hAnsi="Calibri Light"/>
                <w:lang w:val="en-US"/>
              </w:rPr>
              <w:t xml:space="preserve">. 21 </w:t>
            </w:r>
          </w:p>
          <w:p w:rsidR="007E3209" w:rsidRPr="007E3209" w:rsidRDefault="007E3209" w:rsidP="007E3209">
            <w:pPr>
              <w:rPr>
                <w:rFonts w:ascii="Calibri Light" w:hAnsi="Calibri Light"/>
                <w:lang w:val="en-US"/>
              </w:rPr>
            </w:pPr>
            <w:r w:rsidRPr="007E3209">
              <w:rPr>
                <w:rFonts w:ascii="Calibri Light" w:hAnsi="Calibri Light"/>
                <w:lang w:val="en-US"/>
              </w:rPr>
              <w:t xml:space="preserve">e-mail: kjanas@irm.krakow.pl </w:t>
            </w:r>
          </w:p>
        </w:tc>
        <w:tc>
          <w:tcPr>
            <w:tcW w:w="4606" w:type="dxa"/>
          </w:tcPr>
          <w:p w:rsidR="007E3209" w:rsidRPr="007E3209" w:rsidRDefault="007E3209" w:rsidP="009F4851">
            <w:pPr>
              <w:ind w:left="497"/>
              <w:rPr>
                <w:rFonts w:ascii="Calibri Light" w:hAnsi="Calibri Light"/>
                <w:sz w:val="10"/>
                <w:szCs w:val="10"/>
                <w:lang w:val="en-US"/>
              </w:rPr>
            </w:pPr>
          </w:p>
          <w:p w:rsidR="007E3209" w:rsidRPr="007E3209" w:rsidRDefault="007E3209" w:rsidP="009F4851">
            <w:pPr>
              <w:ind w:left="497"/>
              <w:rPr>
                <w:rFonts w:ascii="Calibri Light" w:hAnsi="Calibri Light"/>
                <w:lang w:val="en-US"/>
              </w:rPr>
            </w:pPr>
            <w:r w:rsidRPr="007E3209">
              <w:rPr>
                <w:rFonts w:ascii="Calibri Light" w:hAnsi="Calibri Light"/>
                <w:lang w:val="en-US"/>
              </w:rPr>
              <w:t>tel.: +48 661 426 663</w:t>
            </w:r>
          </w:p>
          <w:p w:rsidR="007E3209" w:rsidRPr="007E3209" w:rsidRDefault="007E3209" w:rsidP="009F4851">
            <w:pPr>
              <w:ind w:left="497"/>
              <w:rPr>
                <w:rFonts w:ascii="Calibri Light" w:hAnsi="Calibri Light"/>
                <w:lang w:val="en-US"/>
              </w:rPr>
            </w:pPr>
            <w:r w:rsidRPr="007E3209">
              <w:rPr>
                <w:rFonts w:ascii="Calibri Light" w:hAnsi="Calibri Light"/>
                <w:lang w:val="en-US"/>
              </w:rPr>
              <w:t>e-mail: rackiewicz@atmoterm.pl</w:t>
            </w:r>
          </w:p>
        </w:tc>
      </w:tr>
    </w:tbl>
    <w:p w:rsidR="00C34588" w:rsidRPr="00945886" w:rsidRDefault="008C089C" w:rsidP="007E3209">
      <w:pPr>
        <w:spacing w:after="0"/>
        <w:rPr>
          <w:rFonts w:ascii="Calibri Light" w:hAnsi="Calibri Light"/>
        </w:rPr>
      </w:pPr>
    </w:p>
    <w:sectPr w:rsidR="00C34588" w:rsidRPr="00945886" w:rsidSect="00AF34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203F5"/>
    <w:multiLevelType w:val="hybridMultilevel"/>
    <w:tmpl w:val="E35E4FB6"/>
    <w:lvl w:ilvl="0" w:tplc="04150005">
      <w:start w:val="1"/>
      <w:numFmt w:val="bullet"/>
      <w:lvlText w:val=""/>
      <w:lvlJc w:val="left"/>
      <w:pPr>
        <w:ind w:left="720" w:hanging="360"/>
      </w:pPr>
      <w:rPr>
        <w:rFonts w:ascii="Wingdings" w:hAnsi="Wingdings" w:hint="default"/>
        <w:color w:val="ED7D3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9A7A99"/>
    <w:rsid w:val="00534DAB"/>
    <w:rsid w:val="00583D55"/>
    <w:rsid w:val="007E3209"/>
    <w:rsid w:val="008201E9"/>
    <w:rsid w:val="008C089C"/>
    <w:rsid w:val="00945886"/>
    <w:rsid w:val="009A7A99"/>
    <w:rsid w:val="009F4851"/>
    <w:rsid w:val="00AA308A"/>
    <w:rsid w:val="00AF34D5"/>
    <w:rsid w:val="00BB40BE"/>
    <w:rsid w:val="00CA266A"/>
    <w:rsid w:val="00F61B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34D5"/>
  </w:style>
  <w:style w:type="paragraph" w:styleId="Nagwek5">
    <w:name w:val="heading 5"/>
    <w:basedOn w:val="Normalny"/>
    <w:link w:val="Nagwek5Znak"/>
    <w:uiPriority w:val="9"/>
    <w:qFormat/>
    <w:rsid w:val="009A7A99"/>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9A7A99"/>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9A7A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A7A99"/>
    <w:rPr>
      <w:b/>
      <w:bCs/>
    </w:rPr>
  </w:style>
  <w:style w:type="character" w:styleId="Uwydatnienie">
    <w:name w:val="Emphasis"/>
    <w:basedOn w:val="Domylnaczcionkaakapitu"/>
    <w:uiPriority w:val="20"/>
    <w:qFormat/>
    <w:rsid w:val="009A7A99"/>
    <w:rPr>
      <w:i/>
      <w:iCs/>
    </w:rPr>
  </w:style>
  <w:style w:type="paragraph" w:styleId="Tekstdymka">
    <w:name w:val="Balloon Text"/>
    <w:basedOn w:val="Normalny"/>
    <w:link w:val="TekstdymkaZnak"/>
    <w:uiPriority w:val="99"/>
    <w:semiHidden/>
    <w:unhideWhenUsed/>
    <w:rsid w:val="009A7A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7A99"/>
    <w:rPr>
      <w:rFonts w:ascii="Tahoma" w:hAnsi="Tahoma" w:cs="Tahoma"/>
      <w:sz w:val="16"/>
      <w:szCs w:val="16"/>
    </w:rPr>
  </w:style>
  <w:style w:type="paragraph" w:styleId="Akapitzlist">
    <w:name w:val="List Paragraph"/>
    <w:basedOn w:val="Normalny"/>
    <w:uiPriority w:val="34"/>
    <w:qFormat/>
    <w:rsid w:val="009A7A99"/>
    <w:pPr>
      <w:ind w:left="720"/>
      <w:contextualSpacing/>
    </w:pPr>
  </w:style>
  <w:style w:type="character" w:customStyle="1" w:styleId="il">
    <w:name w:val="il"/>
    <w:basedOn w:val="Domylnaczcionkaakapitu"/>
    <w:rsid w:val="007E3209"/>
  </w:style>
  <w:style w:type="character" w:styleId="Hipercze">
    <w:name w:val="Hyperlink"/>
    <w:basedOn w:val="Domylnaczcionkaakapitu"/>
    <w:uiPriority w:val="99"/>
    <w:unhideWhenUsed/>
    <w:rsid w:val="007E3209"/>
    <w:rPr>
      <w:color w:val="0000FF"/>
      <w:u w:val="single"/>
    </w:rPr>
  </w:style>
  <w:style w:type="table" w:styleId="Tabela-Siatka">
    <w:name w:val="Table Grid"/>
    <w:basedOn w:val="Standardowy"/>
    <w:uiPriority w:val="59"/>
    <w:rsid w:val="007E3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7457497">
      <w:bodyDiv w:val="1"/>
      <w:marLeft w:val="0"/>
      <w:marRight w:val="0"/>
      <w:marTop w:val="0"/>
      <w:marBottom w:val="0"/>
      <w:divBdr>
        <w:top w:val="none" w:sz="0" w:space="0" w:color="auto"/>
        <w:left w:val="none" w:sz="0" w:space="0" w:color="auto"/>
        <w:bottom w:val="none" w:sz="0" w:space="0" w:color="auto"/>
        <w:right w:val="none" w:sz="0" w:space="0" w:color="auto"/>
      </w:divBdr>
    </w:div>
    <w:div w:id="210653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6454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Obserwatorium Polityki Miejskiej</dc:creator>
  <cp:keywords>OPM;IRM;Obserwatorium Polityki Miejskiej;ATMOTERM S.A;raport o stanie miast;nieskoemisyjność;efektywność energetyczna</cp:keywords>
  <cp:lastModifiedBy>LENNON</cp:lastModifiedBy>
  <cp:revision>3</cp:revision>
  <dcterms:created xsi:type="dcterms:W3CDTF">2017-08-07T07:25:00Z</dcterms:created>
  <dcterms:modified xsi:type="dcterms:W3CDTF">2017-08-07T07:25:00Z</dcterms:modified>
</cp:coreProperties>
</file>