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E457" w14:textId="502B5160" w:rsidR="000524C1" w:rsidRPr="007D426B" w:rsidRDefault="007D426B" w:rsidP="009230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/>
          <w:kern w:val="36"/>
          <w:sz w:val="21"/>
          <w:szCs w:val="21"/>
          <w:lang w:eastAsia="pl-PL"/>
        </w:rPr>
      </w:pPr>
      <w:r>
        <w:rPr>
          <w:rFonts w:asciiTheme="majorHAnsi" w:eastAsia="Times New Roman" w:hAnsiTheme="majorHAnsi" w:cstheme="majorHAnsi"/>
          <w:b/>
          <w:color w:val="ED7D31"/>
          <w:kern w:val="36"/>
          <w:sz w:val="21"/>
          <w:szCs w:val="21"/>
          <w:lang w:eastAsia="pl-PL"/>
        </w:rPr>
        <w:t>PARTYCYPACJA PUBLICZNA</w:t>
      </w:r>
    </w:p>
    <w:p w14:paraId="45B0CBC0" w14:textId="77777777" w:rsidR="009230C4" w:rsidRPr="007D426B" w:rsidRDefault="009230C4" w:rsidP="00F2525A">
      <w:pPr>
        <w:spacing w:after="0" w:line="240" w:lineRule="auto"/>
        <w:jc w:val="center"/>
        <w:rPr>
          <w:rFonts w:asciiTheme="majorHAnsi" w:hAnsiTheme="majorHAnsi" w:cstheme="majorHAnsi"/>
          <w:color w:val="ED7D31" w:themeColor="accent2"/>
          <w:sz w:val="21"/>
          <w:szCs w:val="21"/>
        </w:rPr>
      </w:pPr>
      <w:r w:rsidRPr="007D426B">
        <w:rPr>
          <w:rFonts w:asciiTheme="majorHAnsi" w:eastAsia="Times New Roman" w:hAnsiTheme="majorHAnsi" w:cstheme="majorHAnsi"/>
          <w:color w:val="ED7D31"/>
          <w:kern w:val="36"/>
          <w:sz w:val="21"/>
          <w:szCs w:val="21"/>
          <w:lang w:eastAsia="pl-PL"/>
        </w:rPr>
        <w:t>RAPORT O STANIE POLSKICH MIAST</w:t>
      </w:r>
      <w:r w:rsidRPr="007D426B">
        <w:rPr>
          <w:rFonts w:asciiTheme="majorHAnsi" w:hAnsiTheme="majorHAnsi" w:cstheme="majorHAnsi"/>
          <w:color w:val="ED7D31" w:themeColor="accent2"/>
          <w:sz w:val="21"/>
          <w:szCs w:val="21"/>
          <w:vertAlign w:val="superscript"/>
        </w:rPr>
        <w:br/>
        <w:t>_____________________________________________________________________________________________________________________</w:t>
      </w:r>
    </w:p>
    <w:p w14:paraId="4560E785" w14:textId="1D67F3E5" w:rsidR="007D426B" w:rsidRPr="007D426B" w:rsidRDefault="007D426B" w:rsidP="007D426B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D426B">
        <w:rPr>
          <w:rFonts w:asciiTheme="majorHAnsi" w:hAnsiTheme="majorHAnsi" w:cstheme="majorHAnsi"/>
          <w:b/>
          <w:bCs/>
          <w:sz w:val="21"/>
          <w:szCs w:val="21"/>
        </w:rPr>
        <w:t xml:space="preserve">Dobre rządzenie wymaga udziału obywateli, którzy posiadają wiedzę na temat swoich potrzeb oraz mogą przyczynić się do podejmowania przez rządzących. W kolejnym raporcie o stanie polskich miast Obserwatorium Polityki Miejskiej </w:t>
      </w:r>
      <w:proofErr w:type="spellStart"/>
      <w:r w:rsidRPr="007D426B">
        <w:rPr>
          <w:rFonts w:asciiTheme="majorHAnsi" w:hAnsiTheme="majorHAnsi" w:cstheme="majorHAnsi"/>
          <w:b/>
          <w:bCs/>
          <w:sz w:val="21"/>
          <w:szCs w:val="21"/>
        </w:rPr>
        <w:t>IRMiR</w:t>
      </w:r>
      <w:proofErr w:type="spellEnd"/>
      <w:r w:rsidRPr="007D426B">
        <w:rPr>
          <w:rFonts w:asciiTheme="majorHAnsi" w:hAnsiTheme="majorHAnsi" w:cstheme="majorHAnsi"/>
          <w:b/>
          <w:bCs/>
          <w:sz w:val="21"/>
          <w:szCs w:val="21"/>
        </w:rPr>
        <w:t xml:space="preserve"> przyjrzało się działaniom 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wszystkim </w:t>
      </w:r>
      <w:r w:rsidRPr="007D426B">
        <w:rPr>
          <w:rFonts w:asciiTheme="majorHAnsi" w:hAnsiTheme="majorHAnsi" w:cstheme="majorHAnsi"/>
          <w:b/>
          <w:bCs/>
          <w:sz w:val="21"/>
          <w:szCs w:val="21"/>
        </w:rPr>
        <w:t xml:space="preserve">miast 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w Polsce </w:t>
      </w:r>
      <w:r w:rsidRPr="007D426B">
        <w:rPr>
          <w:rFonts w:asciiTheme="majorHAnsi" w:hAnsiTheme="majorHAnsi" w:cstheme="majorHAnsi"/>
          <w:b/>
          <w:bCs/>
          <w:sz w:val="21"/>
          <w:szCs w:val="21"/>
        </w:rPr>
        <w:t>w zakresie partycypacji publicznej.</w:t>
      </w:r>
    </w:p>
    <w:p w14:paraId="319EA153" w14:textId="77777777" w:rsidR="007D426B" w:rsidRPr="007D426B" w:rsidRDefault="007D426B" w:rsidP="007D426B">
      <w:pPr>
        <w:rPr>
          <w:rFonts w:asciiTheme="majorHAnsi" w:hAnsiTheme="majorHAnsi" w:cstheme="majorHAnsi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>Od kilku lat można zauważyć rosnące znaczenie partycypacji publicznej w dyskusji o mieście. Przeświadczenie, że mieszkańcy powinni być bezpośrednio i regularnie pytani o zdanie w sprawach dotyczących ich lokalnych społeczności, przestało być wyrażane jedynie przez organizacje społeczne i ruchy miejskie. Stało się czymś w gruncie rzeczy bezspornym, także dla władz miejskich i urzędników.</w:t>
      </w:r>
    </w:p>
    <w:p w14:paraId="2D9FB5FC" w14:textId="77777777" w:rsidR="007D426B" w:rsidRPr="007D426B" w:rsidRDefault="007D426B" w:rsidP="007D426B">
      <w:pPr>
        <w:rPr>
          <w:rFonts w:asciiTheme="majorHAnsi" w:hAnsiTheme="majorHAnsi" w:cstheme="majorHAnsi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>Badania Obserwatorium Polityki Miejskiej są jedną z prób odpowiedzi na pytanie dotyczące stopnia zakorzenienia się podejścia partycypacyjnego w polskich samorządach. Przyjrzano się kwestiom związanym z dostępnością różnego rodzaju narzędzi umożliwiających mieszkańcom zdobywanie informacji na temat lokalnych spraw publicznych oraz wpływanie na decyzje podejmowane przez władze samorządowe.</w:t>
      </w:r>
    </w:p>
    <w:p w14:paraId="1E531166" w14:textId="77777777" w:rsidR="007A32B6" w:rsidRPr="007A32B6" w:rsidRDefault="007A32B6" w:rsidP="007D426B">
      <w:pPr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</w:pPr>
      <w:r w:rsidRPr="007A32B6"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  <w:t>Zawartość raportu</w:t>
      </w:r>
    </w:p>
    <w:p w14:paraId="43436B20" w14:textId="28E618D3" w:rsidR="007D426B" w:rsidRPr="007D426B" w:rsidRDefault="007D426B" w:rsidP="007D426B">
      <w:pPr>
        <w:rPr>
          <w:rFonts w:asciiTheme="majorHAnsi" w:hAnsiTheme="majorHAnsi" w:cstheme="majorHAnsi"/>
          <w:sz w:val="21"/>
          <w:szCs w:val="21"/>
          <w:shd w:val="clear" w:color="auto" w:fill="FFFFFF"/>
        </w:rPr>
      </w:pPr>
      <w:r w:rsidRPr="007D426B">
        <w:rPr>
          <w:rFonts w:asciiTheme="majorHAnsi" w:hAnsiTheme="majorHAnsi" w:cstheme="majorHAnsi"/>
          <w:sz w:val="21"/>
          <w:szCs w:val="21"/>
          <w:shd w:val="clear" w:color="auto" w:fill="FFFFFF"/>
        </w:rPr>
        <w:t>W części monitoringowej raportu poruszono zagadnienia związane z włączaniem mieszkańców w podejmowanie decyzji, współpracą samorządu z trzecim sektorem oraz informowaniem „Spojrzenie w głąb” obejmuje zagadnienia związane z konsultacjami dokumentów planistycznych oraz budżetem obywatelskim.</w:t>
      </w:r>
    </w:p>
    <w:p w14:paraId="0C717089" w14:textId="77777777" w:rsidR="007D426B" w:rsidRPr="007D426B" w:rsidRDefault="007D426B" w:rsidP="007D426B">
      <w:pPr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</w:pPr>
      <w:r w:rsidRPr="007D426B"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  <w:t>Wybrane wnioski</w:t>
      </w:r>
    </w:p>
    <w:p w14:paraId="76F6FD4D" w14:textId="77777777" w:rsidR="007D426B" w:rsidRPr="007D426B" w:rsidRDefault="007D426B" w:rsidP="007D426B">
      <w:pPr>
        <w:pStyle w:val="Wnioski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>Dostępność narzędzi partycypacji publicznej rośnie wraz z wielkością miasta.</w:t>
      </w:r>
    </w:p>
    <w:p w14:paraId="7C606263" w14:textId="77777777" w:rsidR="007D426B" w:rsidRPr="007D426B" w:rsidRDefault="007D426B" w:rsidP="007D426B">
      <w:pPr>
        <w:pStyle w:val="Wnioski"/>
        <w:ind w:left="720"/>
        <w:rPr>
          <w:rFonts w:asciiTheme="majorHAnsi" w:hAnsiTheme="majorHAnsi" w:cstheme="majorHAnsi"/>
          <w:b w:val="0"/>
          <w:bCs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Mieszkańcy dużych miast mają największe możliwości korzystania z różnych narzędzi z zakresu partycypacji publicznej.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>Wśród miast zamieszkanych przez ponad 100 tys. osób odnotowano w badaniu najwyższy odsetek ośrodków uchwalających budżet obywatelski (100% w przypadku edycji na 2017 r.), realizujących inicjatywę lokalną (87%) czy obywatelską inicjatywę uchwałodawczą (71,8%).</w:t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 To także duże miasta najczęściej uchwalają ogólny regulamin konsultacji (82,1%) oraz organizują dodatkowe działania związane z konsultacjami dokumentów planistycznych (79,5%).Możliwe, że mniejsza dostępność różnych narzędzi partycypacji w mniejszych miastach wynika z braku potrzeby ich wprowadzania. Ze względu na mniejszą skalę miasta dystans pomiędzy obywatelami a decydentami nie jest tak duży jak w najludniejszych ośrodkach i nie jest koniecznie wykorzystywanie kanałów formalnych.</w:t>
      </w:r>
    </w:p>
    <w:p w14:paraId="18AB7411" w14:textId="77777777" w:rsidR="007D426B" w:rsidRPr="007D426B" w:rsidRDefault="007D426B" w:rsidP="007D426B">
      <w:pPr>
        <w:pStyle w:val="Wnioski"/>
        <w:numPr>
          <w:ilvl w:val="0"/>
          <w:numId w:val="15"/>
        </w:numPr>
        <w:rPr>
          <w:rFonts w:asciiTheme="majorHAnsi" w:hAnsiTheme="majorHAnsi" w:cstheme="majorHAnsi"/>
          <w:b w:val="0"/>
          <w:bCs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>Administracja rzadko tworzy wyspecjalizowane komórki ds. partycypacji.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br/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Pomimo wzrostu znaczenia partycypacji publicznej wciąż niewiele miast tworzy w urzędzie komórki zajmujące się dialogiem z mieszkańcami czy współpracą z organizacjami pozarządowymi. Istnienie tego typu wyspecjalizowanych ośrodków w administracji zadeklarowało jedynie 23% miast biorących udział w badaniu.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>Sytuacja najlepiej wygląda w dużych miastach – komórkę zajmującą się partycypacją utworzono w urzędach 66,6% miast powyżej 100 tys. mieszkańców i w 83,2% miast wojewódzkich</w:t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>. W mniejszych miastach osoby zajmujące się partycypacją publiczną pracują w różnych komórkach, które odpowiadają również za inne sprawy.</w:t>
      </w:r>
    </w:p>
    <w:p w14:paraId="04906CA6" w14:textId="77777777" w:rsidR="007D426B" w:rsidRPr="007D426B" w:rsidRDefault="007D426B" w:rsidP="007D426B">
      <w:pPr>
        <w:pStyle w:val="Wnioski"/>
        <w:numPr>
          <w:ilvl w:val="0"/>
          <w:numId w:val="15"/>
        </w:numPr>
        <w:rPr>
          <w:rFonts w:asciiTheme="majorHAnsi" w:hAnsiTheme="majorHAnsi" w:cstheme="majorHAnsi"/>
          <w:bCs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 xml:space="preserve">Około 70% samorządów wciąż nie przyjęło uchwał w sprawie inicjatywy lokalnej, choć wymagają tego przepisy ustawowe.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br/>
      </w:r>
      <w:r w:rsidRPr="007D426B">
        <w:rPr>
          <w:rFonts w:asciiTheme="majorHAnsi" w:hAnsiTheme="majorHAnsi" w:cstheme="majorHAnsi"/>
          <w:b w:val="0"/>
          <w:color w:val="auto"/>
          <w:sz w:val="21"/>
          <w:szCs w:val="21"/>
        </w:rPr>
        <w:t>Formuła inicjatywy lokalnej – w odróżnieniu np. od budżetu partycypacyjnego – zakłada, że mieszkańcy są nie tylko inicjatorami projektu (zgłaszającymi wniosek), ale też go w części realizują, dzieląc się kosztami i/lub pracą. W świetle przepisów każda gmina powinna przyjąć uchwałę określającą szczegółowe zasady zgłaszania i realizacji inicjatyw.</w:t>
      </w:r>
      <w:r w:rsidRPr="007D426B">
        <w:rPr>
          <w:rFonts w:asciiTheme="majorHAnsi" w:hAnsiTheme="majorHAnsi" w:cstheme="majorHAnsi"/>
          <w:b w:val="0"/>
          <w:color w:val="auto"/>
          <w:sz w:val="21"/>
          <w:szCs w:val="21"/>
        </w:rPr>
        <w:br/>
        <w:t>Do 2017 r. tego typu akty przyjęto jedynie w jednej trzeciej miast, w tym w połowie miast dużych (powyżej 100 tys. mieszkańców), ale tylko w 15% miast średnich i w 5% miast małych.</w:t>
      </w:r>
      <w:r w:rsidRPr="007D426B">
        <w:rPr>
          <w:rFonts w:asciiTheme="majorHAnsi" w:eastAsia="Cambria" w:hAnsiTheme="majorHAnsi" w:cstheme="majorHAnsi"/>
          <w:b w:val="0"/>
          <w:color w:val="auto"/>
          <w:sz w:val="21"/>
          <w:szCs w:val="21"/>
        </w:rPr>
        <w:t xml:space="preserve"> </w:t>
      </w:r>
      <w:r w:rsidRPr="007D426B">
        <w:rPr>
          <w:rFonts w:asciiTheme="majorHAnsi" w:hAnsiTheme="majorHAnsi" w:cstheme="majorHAnsi"/>
          <w:b w:val="0"/>
          <w:color w:val="auto"/>
          <w:sz w:val="21"/>
          <w:szCs w:val="21"/>
        </w:rPr>
        <w:t xml:space="preserve">Jedynie w co dziesiątym mieście faktycznie zrealizowano jakiś pomysł z tego źródła. </w:t>
      </w:r>
      <w:r w:rsidRPr="007D426B">
        <w:rPr>
          <w:rFonts w:asciiTheme="majorHAnsi" w:hAnsiTheme="majorHAnsi" w:cstheme="majorHAnsi"/>
          <w:b w:val="0"/>
          <w:color w:val="auto"/>
          <w:sz w:val="21"/>
          <w:szCs w:val="21"/>
        </w:rPr>
        <w:br/>
      </w:r>
      <w:r w:rsidRPr="007D426B">
        <w:rPr>
          <w:rFonts w:asciiTheme="majorHAnsi" w:hAnsiTheme="majorHAnsi" w:cstheme="majorHAnsi"/>
          <w:b w:val="0"/>
          <w:color w:val="auto"/>
          <w:sz w:val="21"/>
          <w:szCs w:val="21"/>
        </w:rPr>
        <w:lastRenderedPageBreak/>
        <w:t xml:space="preserve">Brak możliwości realizowania inicjatyw lokalnych oznacza nie tylko niespełnienie obowiązków wynikających z ustawy, ale też może być </w:t>
      </w:r>
      <w:r w:rsidRPr="007D426B">
        <w:rPr>
          <w:rFonts w:asciiTheme="majorHAnsi" w:hAnsiTheme="majorHAnsi" w:cstheme="majorHAnsi"/>
          <w:bCs/>
          <w:color w:val="auto"/>
          <w:sz w:val="21"/>
          <w:szCs w:val="21"/>
        </w:rPr>
        <w:t>odczytany jako niechęć do oddania możliwości dokonania zmian przestrzeni w ręce mieszkańców.</w:t>
      </w:r>
    </w:p>
    <w:p w14:paraId="33A4BFD2" w14:textId="77777777" w:rsidR="007D426B" w:rsidRPr="007D426B" w:rsidRDefault="007D426B" w:rsidP="007D426B">
      <w:pPr>
        <w:pStyle w:val="Wnioski"/>
        <w:numPr>
          <w:ilvl w:val="0"/>
          <w:numId w:val="15"/>
        </w:numPr>
        <w:rPr>
          <w:rFonts w:asciiTheme="majorHAnsi" w:hAnsiTheme="majorHAnsi" w:cstheme="majorHAnsi"/>
          <w:bCs/>
          <w:sz w:val="21"/>
          <w:szCs w:val="21"/>
        </w:rPr>
      </w:pPr>
      <w:r w:rsidRPr="007D426B">
        <w:rPr>
          <w:rFonts w:asciiTheme="majorHAnsi" w:hAnsiTheme="majorHAnsi" w:cstheme="majorHAnsi"/>
          <w:bCs/>
          <w:sz w:val="21"/>
          <w:szCs w:val="21"/>
        </w:rPr>
        <w:t xml:space="preserve">Nielegalne ograniczenia i </w:t>
      </w:r>
      <w:r w:rsidRPr="007D426B">
        <w:rPr>
          <w:rFonts w:asciiTheme="majorHAnsi" w:hAnsiTheme="majorHAnsi" w:cstheme="majorHAnsi"/>
          <w:sz w:val="21"/>
          <w:szCs w:val="21"/>
        </w:rPr>
        <w:t>nieszczelny system nadzoru</w:t>
      </w:r>
    </w:p>
    <w:p w14:paraId="5D1FE932" w14:textId="77777777" w:rsidR="007A32B6" w:rsidRDefault="007D426B" w:rsidP="007A32B6">
      <w:pPr>
        <w:pStyle w:val="Wnioski"/>
        <w:spacing w:before="240"/>
        <w:ind w:left="720"/>
        <w:rPr>
          <w:rFonts w:asciiTheme="majorHAnsi" w:hAnsiTheme="majorHAnsi" w:cstheme="majorHAnsi"/>
          <w:b w:val="0"/>
          <w:bCs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Ogólny regulamin konsultacji zdecydowało się większość miast (70%). Problemem jednak są rozwiązania szczegółowe, które występują w niektórych regulaminach i które ograniczają możliwości partycypacji dużej części obywateli. Na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 xml:space="preserve">przykład blisko 40% uchwał znaleziono przepisy mówiące o tym, że w konsultacjach mogą uczestniczyć jedynie osoby pełnoletnie.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br/>
        <w:t>Tego typu ograniczenia stoją w sprzeczności z ustawą o samorządzie gminnym</w:t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 mówiącą o tym, że w konsultacjach społecznych mogą uczestniczyć mieszkańcy, a więc także osoby, które są niepełnoletnie lub nie dysponują pełnią praw publicznych. </w:t>
      </w:r>
    </w:p>
    <w:p w14:paraId="525FB8E0" w14:textId="504AB573" w:rsidR="007D426B" w:rsidRPr="007A32B6" w:rsidRDefault="007D426B" w:rsidP="007A32B6">
      <w:pPr>
        <w:pStyle w:val="Wnioski"/>
        <w:spacing w:before="240"/>
        <w:ind w:left="720"/>
        <w:rPr>
          <w:rFonts w:asciiTheme="majorHAnsi" w:hAnsiTheme="majorHAnsi" w:cstheme="majorHAnsi"/>
          <w:b w:val="0"/>
          <w:bCs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>Tak rygorystyczne ograniczenia są nie tylko niezgodne z prawem, ale także nie znajdują uzasadnienia w świetle tego, czym są konsultacje, czyli o działaniach mających na celu zbieranie uwag i opinii, które nie są dla władz wiążące.</w:t>
      </w:r>
      <w:r w:rsidR="007A32B6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 </w:t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>Obecność tak wielu przypadków złych zapisów pokazuje nie tylko złą jakość tworzonego prawa w gminach, ale też nieszczelny system nadzoru, który nie był w stanie zidentyfikować i uchylić nieprawidłowych zapisów.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</w:p>
    <w:p w14:paraId="3D443E32" w14:textId="77777777" w:rsidR="007D426B" w:rsidRPr="007D426B" w:rsidRDefault="007D426B" w:rsidP="007D426B">
      <w:pPr>
        <w:pStyle w:val="Wnioski"/>
        <w:numPr>
          <w:ilvl w:val="0"/>
          <w:numId w:val="15"/>
        </w:numPr>
        <w:rPr>
          <w:rFonts w:asciiTheme="majorHAnsi" w:hAnsiTheme="majorHAnsi" w:cstheme="majorHAnsi"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>Informowanie to jeszcze nie konsultacje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br/>
      </w:r>
      <w:r w:rsidRPr="007D426B">
        <w:rPr>
          <w:rFonts w:asciiTheme="majorHAnsi" w:hAnsiTheme="majorHAnsi" w:cstheme="majorHAnsi"/>
          <w:b w:val="0"/>
          <w:color w:val="auto"/>
          <w:sz w:val="21"/>
          <w:szCs w:val="21"/>
        </w:rPr>
        <w:t>Autorzy raportu zwracają również uwagę, że ogólne regulaminy konsultacji nie gwarantują wysokich standardów dialogu. Zdarza się, że samo udostępnienie materiałów na temat konsultowanej sprawy (np. informacja na stronie internetowej lub w urzędzie) było traktowane jako jedna z dopuszczalnych metod konsultacji. Tymczasem informowanie jest jedynie wstępem do dialogu.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</w:p>
    <w:p w14:paraId="7E12CF50" w14:textId="77777777" w:rsidR="007D426B" w:rsidRPr="007D426B" w:rsidRDefault="007D426B" w:rsidP="007D426B">
      <w:pPr>
        <w:pStyle w:val="Wnioski"/>
        <w:numPr>
          <w:ilvl w:val="0"/>
          <w:numId w:val="15"/>
        </w:numPr>
        <w:rPr>
          <w:rFonts w:asciiTheme="majorHAnsi" w:hAnsiTheme="majorHAnsi" w:cstheme="majorHAnsi"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>Konsultacje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Pr="007D426B">
        <w:rPr>
          <w:rFonts w:asciiTheme="majorHAnsi" w:hAnsiTheme="majorHAnsi" w:cstheme="majorHAnsi"/>
          <w:sz w:val="21"/>
          <w:szCs w:val="21"/>
        </w:rPr>
        <w:t>za podpisy</w:t>
      </w:r>
    </w:p>
    <w:p w14:paraId="32A83762" w14:textId="77777777" w:rsidR="007D426B" w:rsidRPr="007D426B" w:rsidRDefault="007D426B" w:rsidP="007D426B">
      <w:pPr>
        <w:pStyle w:val="Wnioski"/>
        <w:ind w:left="720"/>
        <w:rPr>
          <w:rFonts w:asciiTheme="majorHAnsi" w:hAnsiTheme="majorHAnsi" w:cstheme="majorHAnsi"/>
          <w:b w:val="0"/>
          <w:bCs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W dwóch trzecich miast posiadających ogólne regulaminy konsultacji mieszkańcy mają prawo wystąpienia z wnioskiem o przeprowadzenie konsultacji. Problem polega na tym, że prawo to w części ośrodków jest iluzoryczne. W blisko 15% przebadanych gmin wniosek obywatelski o przeprowadzenie konsultacji musi zostać poparty przez co najmniej 5% mieszkańców. W grupie tej znalazły się miasta wymagające, aby pomysł przeprowadzenia konsultacji został poparty przez kilkanaście czy nawet kilkadziesiąt procent mieszkańców. </w:t>
      </w:r>
    </w:p>
    <w:p w14:paraId="7A61863C" w14:textId="5F769997" w:rsidR="007D426B" w:rsidRPr="007D426B" w:rsidRDefault="007D426B" w:rsidP="007D426B">
      <w:pPr>
        <w:pStyle w:val="Wnioski"/>
        <w:numPr>
          <w:ilvl w:val="0"/>
          <w:numId w:val="15"/>
        </w:numPr>
        <w:rPr>
          <w:rFonts w:asciiTheme="majorHAnsi" w:hAnsiTheme="majorHAnsi" w:cstheme="majorHAnsi"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 xml:space="preserve">Dostęp do informacji publicznej </w:t>
      </w:r>
      <w:r w:rsidRPr="007D426B">
        <w:rPr>
          <w:rFonts w:asciiTheme="majorHAnsi" w:hAnsiTheme="majorHAnsi" w:cstheme="majorHAnsi"/>
          <w:sz w:val="21"/>
          <w:szCs w:val="21"/>
        </w:rPr>
        <w:t xml:space="preserve">powoli </w:t>
      </w:r>
      <w:r w:rsidRPr="007D426B">
        <w:rPr>
          <w:rFonts w:asciiTheme="majorHAnsi" w:hAnsiTheme="majorHAnsi" w:cstheme="majorHAnsi"/>
          <w:sz w:val="21"/>
          <w:szCs w:val="21"/>
        </w:rPr>
        <w:t xml:space="preserve">coraz lepszy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br/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Ponad </w:t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  <w:highlight w:val="white"/>
        </w:rPr>
        <w:t xml:space="preserve">połowa miast odpowiedziała na dostęp do informacji publicznej (pytanie o l. urzędników) w ciągu siedmiu dni, a </w:t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trzy czwarte zmieściło się w ustawowym terminie (14 dni). Kolejne 5% zrobiło to po tym czasie, ale informacji w końcu udzieliło.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>Odsetek miast, które nie przekazały nam odpowiedzi, wyniósł 16%.</w:t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 xml:space="preserve"> To dość dużo, choć mniej niż w podobnych badaniach realizowanych we wcześniejszych latach.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</w:p>
    <w:p w14:paraId="0A67B19F" w14:textId="77777777" w:rsidR="007D426B" w:rsidRPr="007D426B" w:rsidRDefault="007D426B" w:rsidP="007D426B">
      <w:pPr>
        <w:pStyle w:val="Wnioski"/>
        <w:rPr>
          <w:rFonts w:asciiTheme="majorHAnsi" w:hAnsiTheme="majorHAnsi" w:cstheme="majorHAnsi"/>
          <w:sz w:val="21"/>
          <w:szCs w:val="21"/>
        </w:rPr>
      </w:pPr>
    </w:p>
    <w:p w14:paraId="4715E41F" w14:textId="77777777" w:rsidR="007D426B" w:rsidRPr="007D426B" w:rsidRDefault="007D426B" w:rsidP="007D426B">
      <w:pPr>
        <w:pStyle w:val="Wnioski"/>
        <w:rPr>
          <w:rFonts w:asciiTheme="majorHAnsi" w:hAnsiTheme="majorHAnsi" w:cstheme="majorHAnsi"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color w:val="auto"/>
          <w:sz w:val="21"/>
          <w:szCs w:val="21"/>
        </w:rPr>
        <w:t>Wybrane rekomendacje</w:t>
      </w:r>
    </w:p>
    <w:p w14:paraId="2DDD5E6B" w14:textId="2479E745" w:rsidR="007D426B" w:rsidRPr="007D426B" w:rsidRDefault="007D426B" w:rsidP="007D426B">
      <w:pPr>
        <w:pStyle w:val="Wnioskisb"/>
        <w:numPr>
          <w:ilvl w:val="0"/>
          <w:numId w:val="15"/>
        </w:numPr>
        <w:rPr>
          <w:rFonts w:asciiTheme="majorHAnsi" w:hAnsiTheme="majorHAnsi" w:cstheme="majorHAnsi"/>
          <w:color w:val="ED7D31" w:themeColor="accent2"/>
          <w:sz w:val="21"/>
          <w:szCs w:val="21"/>
        </w:rPr>
      </w:pPr>
      <w:r w:rsidRPr="007D426B">
        <w:rPr>
          <w:rFonts w:asciiTheme="majorHAnsi" w:hAnsiTheme="majorHAnsi" w:cstheme="majorHAnsi"/>
          <w:color w:val="ED7D31" w:themeColor="accent2"/>
          <w:sz w:val="21"/>
          <w:szCs w:val="21"/>
        </w:rPr>
        <w:t>Potrzebne jest wsparcie rozwoju partycypacji publicznej w małych miastach</w:t>
      </w:r>
    </w:p>
    <w:p w14:paraId="207BEA97" w14:textId="73AA032D" w:rsidR="007D426B" w:rsidRPr="007D426B" w:rsidRDefault="007D426B" w:rsidP="007D426B">
      <w:pPr>
        <w:pStyle w:val="Wnioskisb"/>
        <w:numPr>
          <w:ilvl w:val="0"/>
          <w:numId w:val="15"/>
        </w:numPr>
        <w:rPr>
          <w:rFonts w:asciiTheme="majorHAnsi" w:hAnsiTheme="majorHAnsi" w:cstheme="majorHAnsi"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color w:val="ED7D31" w:themeColor="accent2"/>
          <w:sz w:val="21"/>
          <w:szCs w:val="21"/>
        </w:rPr>
        <w:t xml:space="preserve">Warto uregulować w ustawie zagadnienia związane z ogólnymi regulaminami konsultacji 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br/>
      </w:r>
      <w:r w:rsidRPr="007D426B">
        <w:rPr>
          <w:rFonts w:asciiTheme="majorHAnsi" w:hAnsiTheme="majorHAnsi" w:cstheme="majorHAnsi"/>
          <w:b w:val="0"/>
          <w:bCs/>
          <w:color w:val="auto"/>
          <w:sz w:val="21"/>
          <w:szCs w:val="21"/>
        </w:rPr>
        <w:t>Dlatego też przyszłe przepisy dotyczące ogólnych regulaminów konsultacji powinny gwarantować m.in.: minimalny czas trwania konsultacji społecznych; podsumowanie konsultacji zawierające opis decyzji podjętych przez władze po przeprowadzeniu dialogu z mieszkańcami.</w:t>
      </w:r>
      <w:r w:rsidRPr="007D426B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</w:p>
    <w:p w14:paraId="5B56B55E" w14:textId="73CF391D" w:rsidR="000070B9" w:rsidRDefault="007D426B" w:rsidP="007D426B">
      <w:pPr>
        <w:pStyle w:val="Wnioskisb"/>
        <w:numPr>
          <w:ilvl w:val="0"/>
          <w:numId w:val="15"/>
        </w:numPr>
        <w:rPr>
          <w:rFonts w:asciiTheme="majorHAnsi" w:hAnsiTheme="majorHAnsi" w:cstheme="majorHAnsi"/>
          <w:b w:val="0"/>
          <w:color w:val="auto"/>
          <w:sz w:val="21"/>
          <w:szCs w:val="21"/>
        </w:rPr>
      </w:pPr>
      <w:r w:rsidRPr="007D426B">
        <w:rPr>
          <w:rFonts w:asciiTheme="majorHAnsi" w:hAnsiTheme="majorHAnsi" w:cstheme="majorHAnsi"/>
          <w:bCs/>
          <w:color w:val="ED7D31" w:themeColor="accent2"/>
          <w:sz w:val="21"/>
          <w:szCs w:val="21"/>
        </w:rPr>
        <w:t>Miejskie strony internetowe powinny umożliwiać łatwy dostęp do wiadomości dotyczących partycypacji</w:t>
      </w:r>
      <w:r w:rsidRPr="007D426B">
        <w:rPr>
          <w:rFonts w:asciiTheme="majorHAnsi" w:hAnsiTheme="majorHAnsi" w:cstheme="majorHAnsi"/>
          <w:bCs/>
          <w:color w:val="ED7D31" w:themeColor="accent2"/>
          <w:sz w:val="21"/>
          <w:szCs w:val="21"/>
        </w:rPr>
        <w:br/>
      </w:r>
      <w:r w:rsidRPr="007D426B">
        <w:rPr>
          <w:rFonts w:asciiTheme="majorHAnsi" w:hAnsiTheme="majorHAnsi" w:cstheme="majorHAnsi"/>
          <w:b w:val="0"/>
          <w:color w:val="auto"/>
          <w:sz w:val="21"/>
          <w:szCs w:val="21"/>
        </w:rPr>
        <w:t xml:space="preserve">Warto tworzyć dedykowane partycypacji podstrony na stronach www miast. Ważna jest też jakość udostępnianych informacji, np. konsultowane dokumenty nie powinny być udostępniane jako skany, ponieważ utrudnia to znalezienie w nich szukanych informacji i utrudnia pracę nad dokumentem. </w:t>
      </w:r>
    </w:p>
    <w:p w14:paraId="6FCEFD2D" w14:textId="72D39A0F" w:rsidR="007A32B6" w:rsidRDefault="007A32B6" w:rsidP="007A32B6">
      <w:pPr>
        <w:pStyle w:val="Wnioskisb"/>
        <w:rPr>
          <w:rFonts w:asciiTheme="majorHAnsi" w:hAnsiTheme="majorHAnsi" w:cstheme="majorHAnsi"/>
          <w:b w:val="0"/>
          <w:color w:val="auto"/>
          <w:sz w:val="21"/>
          <w:szCs w:val="21"/>
        </w:rPr>
      </w:pPr>
    </w:p>
    <w:p w14:paraId="3ACA3540" w14:textId="7A699F34" w:rsidR="007A32B6" w:rsidRDefault="007A32B6" w:rsidP="007A32B6">
      <w:pPr>
        <w:pStyle w:val="Wnioskisb"/>
        <w:rPr>
          <w:rFonts w:asciiTheme="majorHAnsi" w:hAnsiTheme="majorHAnsi" w:cstheme="majorHAnsi"/>
          <w:b w:val="0"/>
          <w:color w:val="auto"/>
          <w:sz w:val="21"/>
          <w:szCs w:val="21"/>
        </w:rPr>
      </w:pPr>
    </w:p>
    <w:p w14:paraId="410D8E9E" w14:textId="77777777" w:rsidR="007A32B6" w:rsidRPr="007D426B" w:rsidRDefault="007A32B6" w:rsidP="007A32B6">
      <w:pPr>
        <w:pStyle w:val="Wnioskisb"/>
        <w:rPr>
          <w:rFonts w:asciiTheme="majorHAnsi" w:hAnsiTheme="majorHAnsi" w:cstheme="majorHAnsi"/>
          <w:b w:val="0"/>
          <w:color w:val="auto"/>
          <w:sz w:val="21"/>
          <w:szCs w:val="21"/>
        </w:rPr>
      </w:pPr>
      <w:bookmarkStart w:id="0" w:name="_GoBack"/>
      <w:bookmarkEnd w:id="0"/>
    </w:p>
    <w:p w14:paraId="2878ABE5" w14:textId="77777777" w:rsidR="0053697E" w:rsidRPr="007D426B" w:rsidRDefault="007A3B42" w:rsidP="0053697E">
      <w:pPr>
        <w:spacing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7D426B">
        <w:rPr>
          <w:rFonts w:asciiTheme="majorHAnsi" w:hAnsiTheme="majorHAnsi" w:cstheme="majorHAnsi"/>
          <w:b/>
          <w:sz w:val="21"/>
          <w:szCs w:val="21"/>
        </w:rPr>
        <w:lastRenderedPageBreak/>
        <w:t>Raporty</w:t>
      </w:r>
      <w:r w:rsidR="00837151" w:rsidRPr="007D426B">
        <w:rPr>
          <w:rFonts w:asciiTheme="majorHAnsi" w:hAnsiTheme="majorHAnsi" w:cstheme="majorHAnsi"/>
          <w:b/>
          <w:sz w:val="21"/>
          <w:szCs w:val="21"/>
        </w:rPr>
        <w:t xml:space="preserve"> o stanie polskich miast</w:t>
      </w:r>
      <w:r w:rsidRPr="007D426B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38673460" w14:textId="7019381E" w:rsidR="0053697E" w:rsidRPr="007D426B" w:rsidRDefault="0053697E" w:rsidP="0053697E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D426B">
        <w:rPr>
          <w:rFonts w:asciiTheme="majorHAnsi" w:hAnsiTheme="majorHAnsi" w:cstheme="majorHAnsi"/>
          <w:sz w:val="21"/>
          <w:szCs w:val="21"/>
        </w:rPr>
        <w:t>Obserwatorium Polityki Miejskiej to inicjatywa Instytutu Rozwoju Miast</w:t>
      </w:r>
      <w:r w:rsidR="00A0510A" w:rsidRPr="007D426B">
        <w:rPr>
          <w:rFonts w:asciiTheme="majorHAnsi" w:hAnsiTheme="majorHAnsi" w:cstheme="majorHAnsi"/>
          <w:sz w:val="21"/>
          <w:szCs w:val="21"/>
        </w:rPr>
        <w:t xml:space="preserve"> i Regionów</w:t>
      </w:r>
      <w:r w:rsidRPr="007D426B">
        <w:rPr>
          <w:rFonts w:asciiTheme="majorHAnsi" w:hAnsiTheme="majorHAnsi" w:cstheme="majorHAnsi"/>
          <w:sz w:val="21"/>
          <w:szCs w:val="21"/>
        </w:rPr>
        <w:t xml:space="preserve">, której głównym produktem jest cykl raportów tematycznych, ukazujących się w cyklu trzyletnim. Przedmiotem badań są </w:t>
      </w:r>
      <w:r w:rsidRPr="007D426B">
        <w:rPr>
          <w:rFonts w:asciiTheme="majorHAnsi" w:hAnsiTheme="majorHAnsi" w:cstheme="majorHAnsi"/>
          <w:sz w:val="21"/>
          <w:szCs w:val="21"/>
          <w:u w:val="single"/>
        </w:rPr>
        <w:t xml:space="preserve">wszystkie </w:t>
      </w:r>
      <w:r w:rsidRPr="007D426B">
        <w:rPr>
          <w:rFonts w:asciiTheme="majorHAnsi" w:hAnsiTheme="majorHAnsi" w:cstheme="majorHAnsi"/>
          <w:sz w:val="21"/>
          <w:szCs w:val="21"/>
        </w:rPr>
        <w:t>miasta w Polsce. Dotychczas ukazał się raport:</w:t>
      </w:r>
    </w:p>
    <w:p w14:paraId="6A512BF3" w14:textId="77777777" w:rsidR="007A3B42" w:rsidRPr="007D426B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7D426B">
        <w:rPr>
          <w:rFonts w:asciiTheme="majorHAnsi" w:hAnsiTheme="majorHAnsi" w:cstheme="majorHAnsi"/>
          <w:i/>
          <w:sz w:val="21"/>
          <w:szCs w:val="21"/>
        </w:rPr>
        <w:t xml:space="preserve">Rozwój </w:t>
      </w:r>
      <w:r w:rsidR="00BB516F" w:rsidRPr="007D426B">
        <w:rPr>
          <w:rFonts w:asciiTheme="majorHAnsi" w:hAnsiTheme="majorHAnsi" w:cstheme="majorHAnsi"/>
          <w:i/>
          <w:sz w:val="21"/>
          <w:szCs w:val="21"/>
        </w:rPr>
        <w:t>g</w:t>
      </w:r>
      <w:r w:rsidRPr="007D426B">
        <w:rPr>
          <w:rFonts w:asciiTheme="majorHAnsi" w:hAnsiTheme="majorHAnsi" w:cstheme="majorHAnsi"/>
          <w:i/>
          <w:sz w:val="21"/>
          <w:szCs w:val="21"/>
        </w:rPr>
        <w:t>ospodarczy</w:t>
      </w:r>
      <w:r w:rsidR="005A71C5" w:rsidRPr="007D426B">
        <w:rPr>
          <w:rFonts w:asciiTheme="majorHAnsi" w:hAnsiTheme="majorHAnsi" w:cstheme="majorHAnsi"/>
          <w:i/>
          <w:sz w:val="21"/>
          <w:szCs w:val="21"/>
        </w:rPr>
        <w:t>;</w:t>
      </w:r>
    </w:p>
    <w:p w14:paraId="47100AC1" w14:textId="77777777" w:rsidR="007A3B42" w:rsidRPr="007D426B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7D426B">
        <w:rPr>
          <w:rFonts w:asciiTheme="majorHAnsi" w:hAnsiTheme="majorHAnsi" w:cstheme="majorHAnsi"/>
          <w:i/>
          <w:sz w:val="21"/>
          <w:szCs w:val="21"/>
        </w:rPr>
        <w:t>Niskoemisyjność i efektywność energetyczna</w:t>
      </w:r>
      <w:r w:rsidR="005A71C5" w:rsidRPr="007D426B">
        <w:rPr>
          <w:rFonts w:asciiTheme="majorHAnsi" w:hAnsiTheme="majorHAnsi" w:cstheme="majorHAnsi"/>
          <w:i/>
          <w:sz w:val="21"/>
          <w:szCs w:val="21"/>
        </w:rPr>
        <w:t>;</w:t>
      </w:r>
      <w:r w:rsidRPr="007D426B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4D796328" w14:textId="77777777" w:rsidR="00B97867" w:rsidRPr="007D426B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7D426B">
        <w:rPr>
          <w:rFonts w:asciiTheme="majorHAnsi" w:hAnsiTheme="majorHAnsi" w:cstheme="majorHAnsi"/>
          <w:i/>
          <w:sz w:val="21"/>
          <w:szCs w:val="21"/>
        </w:rPr>
        <w:t>Zarządzanie i współpraca w miejskich obszarach funkcjonalnych</w:t>
      </w:r>
      <w:r w:rsidR="00B97867" w:rsidRPr="007D426B">
        <w:rPr>
          <w:rFonts w:asciiTheme="majorHAnsi" w:hAnsiTheme="majorHAnsi" w:cstheme="majorHAnsi"/>
          <w:i/>
          <w:sz w:val="21"/>
          <w:szCs w:val="21"/>
        </w:rPr>
        <w:t>;</w:t>
      </w:r>
    </w:p>
    <w:p w14:paraId="44DDD597" w14:textId="77777777" w:rsidR="00EB21B2" w:rsidRPr="007D426B" w:rsidRDefault="00EB21B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7D426B">
        <w:rPr>
          <w:rFonts w:asciiTheme="majorHAnsi" w:hAnsiTheme="majorHAnsi" w:cstheme="majorHAnsi"/>
          <w:i/>
          <w:sz w:val="21"/>
          <w:szCs w:val="21"/>
        </w:rPr>
        <w:t>Transport i mobilność miejska</w:t>
      </w:r>
    </w:p>
    <w:p w14:paraId="5EF0B0B0" w14:textId="77777777" w:rsidR="007D426B" w:rsidRDefault="00B97867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7D426B">
        <w:rPr>
          <w:rFonts w:asciiTheme="majorHAnsi" w:hAnsiTheme="majorHAnsi" w:cstheme="majorHAnsi"/>
          <w:i/>
          <w:sz w:val="21"/>
          <w:szCs w:val="21"/>
        </w:rPr>
        <w:t>Mieszkalnictwo społeczne</w:t>
      </w:r>
    </w:p>
    <w:p w14:paraId="0D57D674" w14:textId="7CBD4CCD" w:rsidR="0053697E" w:rsidRPr="007D426B" w:rsidRDefault="007D426B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>Rewitalizacja</w:t>
      </w:r>
      <w:r w:rsidR="005A71C5" w:rsidRPr="007D426B">
        <w:rPr>
          <w:rFonts w:asciiTheme="majorHAnsi" w:hAnsiTheme="majorHAnsi" w:cstheme="majorHAnsi"/>
          <w:i/>
          <w:sz w:val="21"/>
          <w:szCs w:val="21"/>
        </w:rPr>
        <w:t>.</w:t>
      </w:r>
    </w:p>
    <w:p w14:paraId="7DCAD663" w14:textId="77777777" w:rsidR="00B543BD" w:rsidRPr="007D426B" w:rsidRDefault="00B543BD" w:rsidP="00EB21B2">
      <w:pPr>
        <w:spacing w:before="80" w:after="80"/>
        <w:jc w:val="both"/>
        <w:rPr>
          <w:rFonts w:asciiTheme="majorHAnsi" w:hAnsiTheme="majorHAnsi" w:cstheme="majorHAnsi"/>
          <w:i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346"/>
      </w:tblGrid>
      <w:tr w:rsidR="00B543BD" w:rsidRPr="007D426B" w14:paraId="0DBB4510" w14:textId="77777777" w:rsidTr="00B543BD">
        <w:tc>
          <w:tcPr>
            <w:tcW w:w="4786" w:type="dxa"/>
          </w:tcPr>
          <w:p w14:paraId="698F8148" w14:textId="77777777" w:rsidR="00B543BD" w:rsidRPr="007D426B" w:rsidRDefault="00B543BD" w:rsidP="0053697E">
            <w:pPr>
              <w:spacing w:before="80" w:after="80"/>
              <w:ind w:left="-105"/>
              <w:jc w:val="both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7D426B"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  <w:t>KONTAKT:</w:t>
            </w:r>
          </w:p>
        </w:tc>
        <w:tc>
          <w:tcPr>
            <w:tcW w:w="4426" w:type="dxa"/>
          </w:tcPr>
          <w:p w14:paraId="415FA7F5" w14:textId="77777777" w:rsidR="00B543BD" w:rsidRPr="007D426B" w:rsidRDefault="00B543BD" w:rsidP="0053697E">
            <w:pPr>
              <w:spacing w:before="80" w:after="80"/>
              <w:ind w:left="-105"/>
              <w:jc w:val="both"/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</w:pPr>
          </w:p>
        </w:tc>
      </w:tr>
      <w:tr w:rsidR="00B543BD" w:rsidRPr="007D426B" w14:paraId="564BDF21" w14:textId="77777777" w:rsidTr="00B543BD">
        <w:trPr>
          <w:trHeight w:val="506"/>
        </w:trPr>
        <w:tc>
          <w:tcPr>
            <w:tcW w:w="4786" w:type="dxa"/>
          </w:tcPr>
          <w:p w14:paraId="64552F3B" w14:textId="1756A719" w:rsidR="00B543BD" w:rsidRPr="007D426B" w:rsidRDefault="007D426B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Borys Martel </w:t>
            </w:r>
            <w:r w:rsidR="00B543BD" w:rsidRPr="007D426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6A48AFC2" w14:textId="34CCD7E9" w:rsidR="00B543BD" w:rsidRPr="007D426B" w:rsidRDefault="007D426B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7D426B">
              <w:rPr>
                <w:rFonts w:asciiTheme="majorHAnsi" w:hAnsiTheme="majorHAnsi" w:cstheme="majorHAnsi"/>
                <w:sz w:val="21"/>
                <w:szCs w:val="21"/>
              </w:rPr>
              <w:t>Redaktor raportu</w:t>
            </w:r>
            <w:r w:rsidRPr="007D426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="00B543BD" w:rsidRPr="007D426B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  <w:p w14:paraId="018B8C6F" w14:textId="77777777" w:rsidR="00B543BD" w:rsidRPr="007D426B" w:rsidRDefault="00B543BD" w:rsidP="0053697E">
            <w:pPr>
              <w:ind w:left="-105"/>
              <w:rPr>
                <w:rFonts w:asciiTheme="majorHAnsi" w:eastAsia="Times New Roman" w:hAnsiTheme="majorHAnsi" w:cstheme="majorHAnsi"/>
                <w:sz w:val="21"/>
                <w:szCs w:val="21"/>
                <w:lang w:eastAsia="pl-PL"/>
              </w:rPr>
            </w:pPr>
          </w:p>
        </w:tc>
        <w:tc>
          <w:tcPr>
            <w:tcW w:w="4426" w:type="dxa"/>
          </w:tcPr>
          <w:p w14:paraId="7DEBB356" w14:textId="77777777" w:rsidR="00B543BD" w:rsidRPr="007D426B" w:rsidRDefault="00B543BD" w:rsidP="0053697E">
            <w:pPr>
              <w:ind w:left="-105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B543BD" w:rsidRPr="007D426B" w14:paraId="18FA41AD" w14:textId="77777777" w:rsidTr="00B543BD">
        <w:trPr>
          <w:trHeight w:val="672"/>
        </w:trPr>
        <w:tc>
          <w:tcPr>
            <w:tcW w:w="4786" w:type="dxa"/>
          </w:tcPr>
          <w:p w14:paraId="37BBDC9D" w14:textId="2ACCBEAA" w:rsidR="00B543BD" w:rsidRPr="007D426B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</w:t>
            </w:r>
            <w:proofErr w:type="spellStart"/>
            <w:r w:rsidRP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wew</w:t>
            </w:r>
            <w:proofErr w:type="spellEnd"/>
            <w:r w:rsidRP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. </w:t>
            </w:r>
            <w:r w:rsid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65</w:t>
            </w:r>
            <w:r w:rsidRP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  <w:p w14:paraId="3D0B54E4" w14:textId="3D8BDE0B" w:rsidR="00B543BD" w:rsidRPr="007D426B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</w:t>
            </w:r>
            <w:r w:rsid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bmartela</w:t>
            </w:r>
            <w:r w:rsidRP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@irm</w:t>
            </w:r>
            <w:r w:rsid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ir.pl</w:t>
            </w:r>
            <w:r w:rsidRPr="007D426B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426" w:type="dxa"/>
          </w:tcPr>
          <w:p w14:paraId="6E038B0C" w14:textId="39D22131" w:rsidR="00B543BD" w:rsidRPr="007D426B" w:rsidRDefault="00B543BD" w:rsidP="00873472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</w:tc>
      </w:tr>
    </w:tbl>
    <w:p w14:paraId="53B63621" w14:textId="77777777" w:rsidR="0039467C" w:rsidRPr="007D426B" w:rsidRDefault="0039467C">
      <w:pPr>
        <w:rPr>
          <w:rFonts w:asciiTheme="majorHAnsi" w:hAnsiTheme="majorHAnsi" w:cstheme="majorHAnsi"/>
          <w:sz w:val="21"/>
          <w:szCs w:val="21"/>
          <w:lang w:val="en-US"/>
        </w:rPr>
      </w:pPr>
    </w:p>
    <w:sectPr w:rsidR="0039467C" w:rsidRPr="007D426B" w:rsidSect="006B72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FD0E" w14:textId="77777777" w:rsidR="00A258B4" w:rsidRDefault="00A258B4" w:rsidP="001F303A">
      <w:pPr>
        <w:spacing w:after="0" w:line="240" w:lineRule="auto"/>
      </w:pPr>
      <w:r>
        <w:separator/>
      </w:r>
    </w:p>
  </w:endnote>
  <w:endnote w:type="continuationSeparator" w:id="0">
    <w:p w14:paraId="7824C9B2" w14:textId="77777777" w:rsidR="00A258B4" w:rsidRDefault="00A258B4" w:rsidP="001F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Karmina-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9C859" w14:textId="77777777" w:rsidR="00A258B4" w:rsidRDefault="00A258B4" w:rsidP="001F303A">
      <w:pPr>
        <w:spacing w:after="0" w:line="240" w:lineRule="auto"/>
      </w:pPr>
      <w:r>
        <w:separator/>
      </w:r>
    </w:p>
  </w:footnote>
  <w:footnote w:type="continuationSeparator" w:id="0">
    <w:p w14:paraId="77459C39" w14:textId="77777777" w:rsidR="00A258B4" w:rsidRDefault="00A258B4" w:rsidP="001F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04E"/>
    <w:multiLevelType w:val="hybridMultilevel"/>
    <w:tmpl w:val="0616CB9A"/>
    <w:lvl w:ilvl="0" w:tplc="614AEB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D25FF"/>
    <w:multiLevelType w:val="hybridMultilevel"/>
    <w:tmpl w:val="BDC02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3899"/>
    <w:multiLevelType w:val="hybridMultilevel"/>
    <w:tmpl w:val="1C3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017"/>
    <w:multiLevelType w:val="multilevel"/>
    <w:tmpl w:val="9EE8C1A0"/>
    <w:lvl w:ilvl="0">
      <w:start w:val="1"/>
      <w:numFmt w:val="decimal"/>
      <w:pStyle w:val="Lista1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EAC3E01"/>
    <w:multiLevelType w:val="hybridMultilevel"/>
    <w:tmpl w:val="822E9DC2"/>
    <w:lvl w:ilvl="0" w:tplc="C728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241"/>
    <w:multiLevelType w:val="hybridMultilevel"/>
    <w:tmpl w:val="6A8039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AA3642"/>
    <w:multiLevelType w:val="hybridMultilevel"/>
    <w:tmpl w:val="A3266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71BB"/>
    <w:multiLevelType w:val="hybridMultilevel"/>
    <w:tmpl w:val="AD00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3B9"/>
    <w:multiLevelType w:val="hybridMultilevel"/>
    <w:tmpl w:val="7D08F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148B5"/>
    <w:multiLevelType w:val="hybridMultilevel"/>
    <w:tmpl w:val="2CA41808"/>
    <w:lvl w:ilvl="0" w:tplc="2BD61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32EAD"/>
    <w:multiLevelType w:val="hybridMultilevel"/>
    <w:tmpl w:val="1478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5519"/>
    <w:multiLevelType w:val="hybridMultilevel"/>
    <w:tmpl w:val="ACBE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04DA4"/>
    <w:rsid w:val="000070B9"/>
    <w:rsid w:val="00044E0E"/>
    <w:rsid w:val="000524C1"/>
    <w:rsid w:val="00057FAF"/>
    <w:rsid w:val="000D4B83"/>
    <w:rsid w:val="001131E1"/>
    <w:rsid w:val="00122079"/>
    <w:rsid w:val="00163B61"/>
    <w:rsid w:val="0017322F"/>
    <w:rsid w:val="00186B0D"/>
    <w:rsid w:val="00192B93"/>
    <w:rsid w:val="001A73F9"/>
    <w:rsid w:val="001F303A"/>
    <w:rsid w:val="001F55A8"/>
    <w:rsid w:val="00205FFD"/>
    <w:rsid w:val="00242E8E"/>
    <w:rsid w:val="00264B24"/>
    <w:rsid w:val="00294A51"/>
    <w:rsid w:val="00335105"/>
    <w:rsid w:val="0039467C"/>
    <w:rsid w:val="00396188"/>
    <w:rsid w:val="003A7098"/>
    <w:rsid w:val="004106E4"/>
    <w:rsid w:val="004133E3"/>
    <w:rsid w:val="00430AC6"/>
    <w:rsid w:val="004668E9"/>
    <w:rsid w:val="00476172"/>
    <w:rsid w:val="004828B4"/>
    <w:rsid w:val="004C11A4"/>
    <w:rsid w:val="004C411D"/>
    <w:rsid w:val="004C5B8C"/>
    <w:rsid w:val="004D0D00"/>
    <w:rsid w:val="004D6E4A"/>
    <w:rsid w:val="0053697E"/>
    <w:rsid w:val="00554021"/>
    <w:rsid w:val="00562598"/>
    <w:rsid w:val="005773BB"/>
    <w:rsid w:val="0059182D"/>
    <w:rsid w:val="005A71C5"/>
    <w:rsid w:val="005D3208"/>
    <w:rsid w:val="00636E51"/>
    <w:rsid w:val="00691080"/>
    <w:rsid w:val="006971F0"/>
    <w:rsid w:val="006B72B7"/>
    <w:rsid w:val="00762BE4"/>
    <w:rsid w:val="007A32B6"/>
    <w:rsid w:val="007A3B42"/>
    <w:rsid w:val="007D426B"/>
    <w:rsid w:val="007D61B3"/>
    <w:rsid w:val="00804FBF"/>
    <w:rsid w:val="0081184D"/>
    <w:rsid w:val="00837151"/>
    <w:rsid w:val="00843880"/>
    <w:rsid w:val="00857FCD"/>
    <w:rsid w:val="008612BD"/>
    <w:rsid w:val="00872072"/>
    <w:rsid w:val="008723F8"/>
    <w:rsid w:val="00873472"/>
    <w:rsid w:val="0087584D"/>
    <w:rsid w:val="008A4F46"/>
    <w:rsid w:val="008D14CD"/>
    <w:rsid w:val="008D4633"/>
    <w:rsid w:val="008D7216"/>
    <w:rsid w:val="008F3B54"/>
    <w:rsid w:val="009230C4"/>
    <w:rsid w:val="00954BF9"/>
    <w:rsid w:val="00994AEA"/>
    <w:rsid w:val="009B3165"/>
    <w:rsid w:val="009B5AAF"/>
    <w:rsid w:val="009C15D8"/>
    <w:rsid w:val="00A0510A"/>
    <w:rsid w:val="00A258B4"/>
    <w:rsid w:val="00A30749"/>
    <w:rsid w:val="00A41917"/>
    <w:rsid w:val="00AD2CC8"/>
    <w:rsid w:val="00B1113E"/>
    <w:rsid w:val="00B42ACC"/>
    <w:rsid w:val="00B543BD"/>
    <w:rsid w:val="00B6007B"/>
    <w:rsid w:val="00B60DB1"/>
    <w:rsid w:val="00B75787"/>
    <w:rsid w:val="00B779A4"/>
    <w:rsid w:val="00B97867"/>
    <w:rsid w:val="00BB516F"/>
    <w:rsid w:val="00BB6091"/>
    <w:rsid w:val="00BD644D"/>
    <w:rsid w:val="00C27881"/>
    <w:rsid w:val="00CE66E2"/>
    <w:rsid w:val="00D1122D"/>
    <w:rsid w:val="00D61BF4"/>
    <w:rsid w:val="00D673A6"/>
    <w:rsid w:val="00D71292"/>
    <w:rsid w:val="00D9203A"/>
    <w:rsid w:val="00DA073E"/>
    <w:rsid w:val="00DE2130"/>
    <w:rsid w:val="00DF1571"/>
    <w:rsid w:val="00DF30E6"/>
    <w:rsid w:val="00E65600"/>
    <w:rsid w:val="00E720C2"/>
    <w:rsid w:val="00E926AF"/>
    <w:rsid w:val="00E929F5"/>
    <w:rsid w:val="00EB21B2"/>
    <w:rsid w:val="00EB382E"/>
    <w:rsid w:val="00ED0337"/>
    <w:rsid w:val="00F122FA"/>
    <w:rsid w:val="00F15984"/>
    <w:rsid w:val="00F2525A"/>
    <w:rsid w:val="00F256DC"/>
    <w:rsid w:val="00F3177C"/>
    <w:rsid w:val="00F32F3B"/>
    <w:rsid w:val="00F550CD"/>
    <w:rsid w:val="00F8173A"/>
    <w:rsid w:val="00FB01CA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2AF7"/>
  <w15:docId w15:val="{9A29226A-2ED5-4DA1-A9B7-D4612A3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33"/>
  </w:style>
  <w:style w:type="paragraph" w:styleId="Nagwek2">
    <w:name w:val="heading 2"/>
    <w:basedOn w:val="Normalny"/>
    <w:link w:val="Nagwek2Znak"/>
    <w:uiPriority w:val="9"/>
    <w:qFormat/>
    <w:rsid w:val="00F2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52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5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basedOn w:val="Domylnaczcionkaakapitu"/>
    <w:rsid w:val="006971F0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9B3165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C2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C2"/>
    <w:rPr>
      <w:b/>
      <w:bCs/>
      <w:color w:val="1A1A18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03A"/>
  </w:style>
  <w:style w:type="paragraph" w:styleId="Stopka">
    <w:name w:val="footer"/>
    <w:basedOn w:val="Normalny"/>
    <w:link w:val="Stopka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0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0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03A"/>
    <w:rPr>
      <w:vertAlign w:val="superscript"/>
    </w:rPr>
  </w:style>
  <w:style w:type="character" w:customStyle="1" w:styleId="fontstyle31">
    <w:name w:val="fontstyle31"/>
    <w:basedOn w:val="Domylnaczcionkaakapitu"/>
    <w:rsid w:val="005773BB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  <w:style w:type="paragraph" w:customStyle="1" w:styleId="Tekstgwnybezwcicia">
    <w:name w:val="Tekst główny_bez wcięcia"/>
    <w:basedOn w:val="Tekstgwny"/>
    <w:autoRedefine/>
    <w:qFormat/>
    <w:rsid w:val="00B1113E"/>
    <w:pPr>
      <w:tabs>
        <w:tab w:val="left" w:pos="2268"/>
      </w:tabs>
      <w:spacing w:line="360" w:lineRule="auto"/>
      <w:contextualSpacing w:val="0"/>
    </w:pPr>
    <w:rPr>
      <w:b w:val="0"/>
      <w:color w:val="5B9BD5" w:themeColor="accent5"/>
    </w:rPr>
  </w:style>
  <w:style w:type="paragraph" w:styleId="NormalnyWeb">
    <w:name w:val="Normal (Web)"/>
    <w:basedOn w:val="Normalny"/>
    <w:uiPriority w:val="99"/>
    <w:unhideWhenUsed/>
    <w:rsid w:val="00B1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uiPriority w:val="1"/>
    <w:qFormat/>
    <w:rsid w:val="00CE66E2"/>
    <w:rPr>
      <w:rFonts w:ascii="Times New Roman" w:hAnsi="Times New Roman"/>
      <w:b/>
      <w:color w:val="70AD47" w:themeColor="accent6"/>
    </w:rPr>
  </w:style>
  <w:style w:type="paragraph" w:customStyle="1" w:styleId="Lista11">
    <w:name w:val="Lista 1.1"/>
    <w:basedOn w:val="Normalny"/>
    <w:qFormat/>
    <w:rsid w:val="00CE66E2"/>
    <w:pPr>
      <w:numPr>
        <w:numId w:val="13"/>
      </w:num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customStyle="1" w:styleId="Wnioskisb">
    <w:name w:val="Wnioski_sb"/>
    <w:basedOn w:val="Wnioski"/>
    <w:qFormat/>
    <w:rsid w:val="007D426B"/>
    <w:pPr>
      <w:spacing w:before="480"/>
    </w:pPr>
    <w:rPr>
      <w:rFonts w:ascii="Cambria" w:hAnsi="Cambria"/>
      <w:color w:val="2E74B5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CB17-9FFD-4845-A776-800DA420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Salata</dc:creator>
  <cp:lastModifiedBy>Piotr Salata</cp:lastModifiedBy>
  <cp:revision>2</cp:revision>
  <dcterms:created xsi:type="dcterms:W3CDTF">2020-01-29T14:46:00Z</dcterms:created>
  <dcterms:modified xsi:type="dcterms:W3CDTF">2020-01-29T14:46:00Z</dcterms:modified>
</cp:coreProperties>
</file>