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4C1" w:rsidRPr="005A71C5" w:rsidRDefault="00A41917" w:rsidP="009230C4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ED7D31"/>
          <w:kern w:val="36"/>
          <w:sz w:val="30"/>
          <w:szCs w:val="30"/>
          <w:lang w:eastAsia="pl-PL"/>
        </w:rPr>
      </w:pPr>
      <w:r>
        <w:rPr>
          <w:rFonts w:asciiTheme="majorHAnsi" w:eastAsia="Times New Roman" w:hAnsiTheme="majorHAnsi" w:cstheme="majorHAnsi"/>
          <w:b/>
          <w:color w:val="ED7D31"/>
          <w:kern w:val="36"/>
          <w:sz w:val="30"/>
          <w:szCs w:val="30"/>
          <w:lang w:eastAsia="pl-PL"/>
        </w:rPr>
        <w:t>REWITALIZACJA</w:t>
      </w:r>
    </w:p>
    <w:p w:rsidR="009230C4" w:rsidRPr="00F2525A" w:rsidRDefault="009230C4" w:rsidP="00F2525A">
      <w:pPr>
        <w:spacing w:after="0" w:line="240" w:lineRule="auto"/>
        <w:jc w:val="center"/>
        <w:rPr>
          <w:rFonts w:asciiTheme="majorHAnsi" w:hAnsiTheme="majorHAnsi" w:cstheme="majorHAnsi"/>
          <w:color w:val="ED7D31" w:themeColor="accent2"/>
          <w:sz w:val="24"/>
          <w:szCs w:val="24"/>
        </w:rPr>
      </w:pPr>
      <w:r w:rsidRPr="005A71C5">
        <w:rPr>
          <w:rFonts w:asciiTheme="majorHAnsi" w:eastAsia="Times New Roman" w:hAnsiTheme="majorHAnsi" w:cstheme="majorHAnsi"/>
          <w:color w:val="ED7D31"/>
          <w:kern w:val="36"/>
          <w:lang w:eastAsia="pl-PL"/>
        </w:rPr>
        <w:t>RAPORT O STANIE POLSKICH MIAST</w:t>
      </w:r>
      <w:r w:rsidRPr="005A71C5">
        <w:rPr>
          <w:rFonts w:asciiTheme="majorHAnsi" w:hAnsiTheme="majorHAnsi" w:cstheme="majorHAnsi"/>
          <w:color w:val="ED7D31" w:themeColor="accent2"/>
          <w:vertAlign w:val="superscript"/>
        </w:rPr>
        <w:br/>
      </w:r>
      <w:r w:rsidRPr="009230C4">
        <w:rPr>
          <w:rFonts w:asciiTheme="majorHAnsi" w:hAnsiTheme="majorHAnsi" w:cstheme="majorHAnsi"/>
          <w:color w:val="ED7D31" w:themeColor="accent2"/>
          <w:vertAlign w:val="superscript"/>
        </w:rPr>
        <w:t>_____________________________________________________________________________________________________________________</w:t>
      </w:r>
    </w:p>
    <w:p w:rsidR="0039467C" w:rsidRPr="00EB21B2" w:rsidRDefault="00CE66E2" w:rsidP="00EB21B2">
      <w:pPr>
        <w:spacing w:line="16" w:lineRule="atLeast"/>
        <w:jc w:val="both"/>
        <w:rPr>
          <w:rFonts w:asciiTheme="majorHAnsi" w:hAnsiTheme="majorHAnsi" w:cstheme="majorHAnsi"/>
          <w:b/>
          <w:sz w:val="21"/>
          <w:szCs w:val="21"/>
        </w:rPr>
      </w:pPr>
      <w:bookmarkStart w:id="0" w:name="_GoBack"/>
      <w:r w:rsidRPr="00EB21B2">
        <w:rPr>
          <w:rFonts w:asciiTheme="majorHAnsi" w:hAnsiTheme="majorHAnsi" w:cstheme="majorHAnsi"/>
          <w:b/>
          <w:sz w:val="21"/>
          <w:szCs w:val="21"/>
        </w:rPr>
        <w:t xml:space="preserve">Na koniec 2018 roku spośród </w:t>
      </w:r>
      <w:r w:rsidRPr="00EB21B2">
        <w:rPr>
          <w:rFonts w:asciiTheme="majorHAnsi" w:hAnsiTheme="majorHAnsi" w:cstheme="majorHAnsi"/>
          <w:b/>
          <w:sz w:val="21"/>
          <w:szCs w:val="21"/>
        </w:rPr>
        <w:t>930</w:t>
      </w:r>
      <w:r w:rsidRPr="00EB21B2">
        <w:rPr>
          <w:rFonts w:asciiTheme="majorHAnsi" w:hAnsiTheme="majorHAnsi" w:cstheme="majorHAnsi"/>
          <w:b/>
          <w:sz w:val="21"/>
          <w:szCs w:val="21"/>
        </w:rPr>
        <w:t xml:space="preserve"> miast </w:t>
      </w:r>
      <w:r w:rsidRPr="00EB21B2">
        <w:rPr>
          <w:rStyle w:val="Pogrubienie1"/>
          <w:rFonts w:asciiTheme="majorHAnsi" w:hAnsiTheme="majorHAnsi" w:cstheme="majorHAnsi"/>
          <w:color w:val="auto"/>
          <w:sz w:val="21"/>
          <w:szCs w:val="21"/>
        </w:rPr>
        <w:t xml:space="preserve">698 posiadało </w:t>
      </w:r>
      <w:r w:rsidR="005D3208">
        <w:rPr>
          <w:rStyle w:val="Pogrubienie1"/>
          <w:rFonts w:asciiTheme="majorHAnsi" w:hAnsiTheme="majorHAnsi" w:cstheme="majorHAnsi"/>
          <w:color w:val="auto"/>
          <w:sz w:val="21"/>
          <w:szCs w:val="21"/>
        </w:rPr>
        <w:t>gminne lub lokalne programy rewitalizacji (</w:t>
      </w:r>
      <w:r w:rsidRPr="00EB21B2">
        <w:rPr>
          <w:rStyle w:val="Pogrubienie1"/>
          <w:rFonts w:asciiTheme="majorHAnsi" w:hAnsiTheme="majorHAnsi" w:cstheme="majorHAnsi"/>
          <w:color w:val="auto"/>
          <w:sz w:val="21"/>
          <w:szCs w:val="21"/>
        </w:rPr>
        <w:t>GPR</w:t>
      </w:r>
      <w:r w:rsidR="005D3208">
        <w:rPr>
          <w:rStyle w:val="Pogrubienie1"/>
          <w:rFonts w:asciiTheme="majorHAnsi" w:hAnsiTheme="majorHAnsi" w:cstheme="majorHAnsi"/>
          <w:color w:val="auto"/>
          <w:sz w:val="21"/>
          <w:szCs w:val="21"/>
        </w:rPr>
        <w:t>, LPR)</w:t>
      </w:r>
      <w:r w:rsidRPr="00EB21B2">
        <w:rPr>
          <w:rStyle w:val="Pogrubienie1"/>
          <w:rFonts w:asciiTheme="majorHAnsi" w:hAnsiTheme="majorHAnsi" w:cstheme="majorHAnsi"/>
          <w:color w:val="auto"/>
          <w:sz w:val="21"/>
          <w:szCs w:val="21"/>
        </w:rPr>
        <w:t xml:space="preserve"> </w:t>
      </w:r>
      <w:r w:rsidRPr="00EB21B2">
        <w:rPr>
          <w:rStyle w:val="Pogrubienie1"/>
          <w:rFonts w:asciiTheme="majorHAnsi" w:hAnsiTheme="majorHAnsi" w:cstheme="majorHAnsi"/>
          <w:color w:val="auto"/>
          <w:sz w:val="21"/>
          <w:szCs w:val="21"/>
        </w:rPr>
        <w:t xml:space="preserve"> i ciągle ich liczba wzrasta.</w:t>
      </w:r>
      <w:r w:rsidR="005D3208">
        <w:rPr>
          <w:rStyle w:val="fontstyle01"/>
          <w:rFonts w:asciiTheme="majorHAnsi" w:hAnsiTheme="majorHAnsi" w:cstheme="majorHAnsi"/>
          <w:b/>
          <w:color w:val="auto"/>
          <w:sz w:val="21"/>
          <w:szCs w:val="21"/>
        </w:rPr>
        <w:t xml:space="preserve"> </w:t>
      </w:r>
      <w:r w:rsidR="009B3165" w:rsidRPr="00EB21B2">
        <w:rPr>
          <w:rFonts w:asciiTheme="majorHAnsi" w:hAnsiTheme="majorHAnsi" w:cstheme="majorHAnsi"/>
          <w:b/>
          <w:sz w:val="21"/>
          <w:szCs w:val="21"/>
        </w:rPr>
        <w:t xml:space="preserve">Jak do </w:t>
      </w:r>
      <w:r w:rsidRPr="00EB21B2">
        <w:rPr>
          <w:rFonts w:asciiTheme="majorHAnsi" w:hAnsiTheme="majorHAnsi" w:cstheme="majorHAnsi"/>
          <w:b/>
          <w:sz w:val="21"/>
          <w:szCs w:val="21"/>
        </w:rPr>
        <w:t>rewitalizacji</w:t>
      </w:r>
      <w:r w:rsidR="009B3165" w:rsidRPr="00EB21B2">
        <w:rPr>
          <w:rFonts w:asciiTheme="majorHAnsi" w:hAnsiTheme="majorHAnsi" w:cstheme="majorHAnsi"/>
          <w:b/>
          <w:sz w:val="21"/>
          <w:szCs w:val="21"/>
        </w:rPr>
        <w:t xml:space="preserve"> podchodzą </w:t>
      </w:r>
      <w:r w:rsidR="0039467C" w:rsidRPr="00EB21B2">
        <w:rPr>
          <w:rFonts w:asciiTheme="majorHAnsi" w:hAnsiTheme="majorHAnsi" w:cstheme="majorHAnsi"/>
          <w:b/>
          <w:sz w:val="21"/>
          <w:szCs w:val="21"/>
        </w:rPr>
        <w:t xml:space="preserve">samorządy? Najnowszy raport Obserwatorium Polityki Miejskiej </w:t>
      </w:r>
      <w:proofErr w:type="spellStart"/>
      <w:r w:rsidR="0039467C" w:rsidRPr="00EB21B2">
        <w:rPr>
          <w:rFonts w:asciiTheme="majorHAnsi" w:hAnsiTheme="majorHAnsi" w:cstheme="majorHAnsi"/>
          <w:b/>
          <w:sz w:val="21"/>
          <w:szCs w:val="21"/>
        </w:rPr>
        <w:t>IRM</w:t>
      </w:r>
      <w:r w:rsidR="009B3165" w:rsidRPr="00EB21B2">
        <w:rPr>
          <w:rFonts w:asciiTheme="majorHAnsi" w:hAnsiTheme="majorHAnsi" w:cstheme="majorHAnsi"/>
          <w:b/>
          <w:sz w:val="21"/>
          <w:szCs w:val="21"/>
        </w:rPr>
        <w:t>iR</w:t>
      </w:r>
      <w:proofErr w:type="spellEnd"/>
      <w:r w:rsidR="0039467C" w:rsidRPr="00EB21B2">
        <w:rPr>
          <w:rFonts w:asciiTheme="majorHAnsi" w:hAnsiTheme="majorHAnsi" w:cstheme="majorHAnsi"/>
          <w:b/>
          <w:sz w:val="21"/>
          <w:szCs w:val="21"/>
        </w:rPr>
        <w:t xml:space="preserve"> został poświęcony właśnie temu zagadnieniu.</w:t>
      </w:r>
    </w:p>
    <w:bookmarkEnd w:id="0"/>
    <w:p w:rsidR="00B1113E" w:rsidRPr="00EB21B2" w:rsidRDefault="00B1113E" w:rsidP="00EB21B2">
      <w:pPr>
        <w:pStyle w:val="NormalnyWeb"/>
        <w:shd w:val="clear" w:color="auto" w:fill="FFFFFF"/>
        <w:spacing w:before="0" w:beforeAutospacing="0" w:after="160" w:afterAutospacing="0" w:line="16" w:lineRule="atLeast"/>
        <w:jc w:val="both"/>
        <w:rPr>
          <w:rFonts w:asciiTheme="majorHAnsi" w:hAnsiTheme="majorHAnsi" w:cstheme="majorHAnsi"/>
          <w:sz w:val="21"/>
          <w:szCs w:val="21"/>
        </w:rPr>
      </w:pPr>
      <w:r w:rsidRPr="00EB21B2">
        <w:rPr>
          <w:rFonts w:asciiTheme="majorHAnsi" w:hAnsiTheme="majorHAnsi" w:cstheme="majorHAnsi"/>
          <w:sz w:val="21"/>
          <w:szCs w:val="21"/>
        </w:rPr>
        <w:t>W zakresie polityk miejskich, rewitalizacja w ostatnich latach stała się w Polsce jednym z głównych tematów, który przestał być wyłączną domeną specjalistów z tej dziedziny, ale został zaimplementowany do szerokiej dyskusji na temat problemów polskich miast.</w:t>
      </w:r>
    </w:p>
    <w:p w:rsidR="00B1113E" w:rsidRPr="00EB21B2" w:rsidRDefault="00B1113E" w:rsidP="00EB21B2">
      <w:pPr>
        <w:pStyle w:val="NormalnyWeb"/>
        <w:shd w:val="clear" w:color="auto" w:fill="FFFFFF"/>
        <w:spacing w:before="0" w:beforeAutospacing="0" w:after="160" w:afterAutospacing="0" w:line="16" w:lineRule="atLeast"/>
        <w:jc w:val="both"/>
        <w:rPr>
          <w:rFonts w:asciiTheme="majorHAnsi" w:hAnsiTheme="majorHAnsi" w:cstheme="majorHAnsi"/>
          <w:sz w:val="21"/>
          <w:szCs w:val="21"/>
        </w:rPr>
      </w:pPr>
      <w:r w:rsidRPr="00EB21B2">
        <w:rPr>
          <w:rStyle w:val="Kursywa"/>
          <w:rFonts w:asciiTheme="majorHAnsi" w:hAnsiTheme="majorHAnsi" w:cstheme="majorHAnsi"/>
          <w:color w:val="auto"/>
          <w:sz w:val="21"/>
          <w:szCs w:val="21"/>
        </w:rPr>
        <w:t>Krajowa Polityka Miejska 2023</w:t>
      </w:r>
      <w:r w:rsidRPr="00EB21B2">
        <w:rPr>
          <w:rFonts w:asciiTheme="majorHAnsi" w:hAnsiTheme="majorHAnsi" w:cstheme="majorHAnsi"/>
          <w:sz w:val="21"/>
          <w:szCs w:val="21"/>
        </w:rPr>
        <w:t xml:space="preserve"> (KPM) wskazuje rewitalizację jako jeden z dziesięciu wątków tematycznych niezwykle istotnych dla rozwoju polskich miast. W duchu tej idei uchwalona została </w:t>
      </w:r>
      <w:r w:rsidRPr="00EB21B2">
        <w:rPr>
          <w:rStyle w:val="Kursywa"/>
          <w:rFonts w:asciiTheme="majorHAnsi" w:hAnsiTheme="majorHAnsi" w:cstheme="majorHAnsi"/>
          <w:color w:val="auto"/>
          <w:sz w:val="21"/>
          <w:szCs w:val="21"/>
        </w:rPr>
        <w:t>Ustawa z dnia 9 października 2015 r. o rewitalizacji</w:t>
      </w:r>
      <w:r w:rsidRPr="00EB21B2">
        <w:rPr>
          <w:rFonts w:asciiTheme="majorHAnsi" w:hAnsiTheme="majorHAnsi" w:cstheme="majorHAnsi"/>
          <w:sz w:val="21"/>
          <w:szCs w:val="21"/>
        </w:rPr>
        <w:t xml:space="preserve">, która nie tylko stworzyła nowe ramy do prowadzenia działań rewitalizacyjnych przez samorządy, ale też jednocześnie podkreśliła ważną rolę sfery społecznej w rewitalizacji. Wejście w życie ustawy dało samorządom nowe narzędzia do prowadzenia działań rewitalizacyjnych m.in. w postaci gminnego programu rewitalizacji czy specjalnej strefy rewitalizacji. </w:t>
      </w:r>
      <w:r w:rsidRPr="00EB21B2">
        <w:rPr>
          <w:rFonts w:asciiTheme="majorHAnsi" w:hAnsiTheme="majorHAnsi" w:cstheme="majorHAnsi"/>
          <w:sz w:val="21"/>
          <w:szCs w:val="21"/>
          <w:shd w:val="clear" w:color="auto" w:fill="FFFFFF"/>
        </w:rPr>
        <w:t xml:space="preserve">Długo oczekiwana ustawa spowodowała wzrost zainteresowania tą problematyką w Polsce. Władze samorządowe dostrzegły, w kontekście obecnej perspektywy finansowej Unii Europejskiej, możliwość sfinansowania tego procesu ze środków unijnych, czego efektem było opracowanie i uchwalenie znacznej liczby programów rewitalizacji. </w:t>
      </w:r>
    </w:p>
    <w:p w:rsidR="001131E1" w:rsidRPr="00EB21B2" w:rsidRDefault="00F256DC" w:rsidP="00EB21B2">
      <w:pPr>
        <w:spacing w:line="16" w:lineRule="atLeast"/>
        <w:jc w:val="both"/>
        <w:rPr>
          <w:rFonts w:asciiTheme="majorHAnsi" w:hAnsiTheme="majorHAnsi" w:cstheme="majorHAnsi"/>
          <w:sz w:val="21"/>
          <w:szCs w:val="21"/>
        </w:rPr>
      </w:pPr>
      <w:r w:rsidRPr="00EB21B2">
        <w:rPr>
          <w:rFonts w:asciiTheme="majorHAnsi" w:hAnsiTheme="majorHAnsi" w:cstheme="majorHAnsi"/>
          <w:noProof/>
          <w:sz w:val="21"/>
          <w:szCs w:val="21"/>
          <w:lang w:eastAsia="pl-PL"/>
        </w:rPr>
        <w:t>Celem raportu jest z jednej</w:t>
      </w:r>
      <w:r w:rsidRPr="00EB21B2">
        <w:rPr>
          <w:rFonts w:asciiTheme="majorHAnsi" w:hAnsiTheme="majorHAnsi" w:cstheme="majorHAnsi"/>
          <w:sz w:val="21"/>
          <w:szCs w:val="21"/>
        </w:rPr>
        <w:t xml:space="preserve"> strony d</w:t>
      </w:r>
      <w:r w:rsidRPr="00EB21B2">
        <w:rPr>
          <w:rStyle w:val="fontstyle01"/>
          <w:rFonts w:asciiTheme="majorHAnsi" w:hAnsiTheme="majorHAnsi" w:cstheme="majorHAnsi"/>
          <w:color w:val="auto"/>
          <w:sz w:val="21"/>
          <w:szCs w:val="21"/>
        </w:rPr>
        <w:t xml:space="preserve">iagnoza </w:t>
      </w:r>
      <w:r w:rsidR="00B1113E" w:rsidRPr="00EB21B2">
        <w:rPr>
          <w:rStyle w:val="fontstyle01"/>
          <w:rFonts w:asciiTheme="majorHAnsi" w:hAnsiTheme="majorHAnsi" w:cstheme="majorHAnsi"/>
          <w:color w:val="auto"/>
          <w:sz w:val="21"/>
          <w:szCs w:val="21"/>
        </w:rPr>
        <w:t>podejścia miast do rewitalizacji</w:t>
      </w:r>
      <w:r w:rsidRPr="00EB21B2">
        <w:rPr>
          <w:rStyle w:val="fontstyle01"/>
          <w:rFonts w:asciiTheme="majorHAnsi" w:hAnsiTheme="majorHAnsi" w:cstheme="majorHAnsi"/>
          <w:color w:val="auto"/>
          <w:sz w:val="21"/>
          <w:szCs w:val="21"/>
        </w:rPr>
        <w:t xml:space="preserve">, </w:t>
      </w:r>
      <w:r w:rsidRPr="00EB21B2">
        <w:rPr>
          <w:rFonts w:asciiTheme="majorHAnsi" w:hAnsiTheme="majorHAnsi" w:cstheme="majorHAnsi"/>
          <w:sz w:val="21"/>
          <w:szCs w:val="21"/>
        </w:rPr>
        <w:t xml:space="preserve">a z drugiej opracowanie rekomendacji na podstawie przeprowadzonych badań. </w:t>
      </w:r>
      <w:r w:rsidR="001131E1" w:rsidRPr="00EB21B2">
        <w:rPr>
          <w:rFonts w:asciiTheme="majorHAnsi" w:hAnsiTheme="majorHAnsi" w:cstheme="majorHAnsi"/>
          <w:sz w:val="21"/>
          <w:szCs w:val="21"/>
        </w:rPr>
        <w:t xml:space="preserve">Podzielone zostały </w:t>
      </w:r>
      <w:r w:rsidR="004668E9" w:rsidRPr="00EB21B2">
        <w:rPr>
          <w:rFonts w:asciiTheme="majorHAnsi" w:hAnsiTheme="majorHAnsi" w:cstheme="majorHAnsi"/>
          <w:sz w:val="21"/>
          <w:szCs w:val="21"/>
        </w:rPr>
        <w:t xml:space="preserve">one </w:t>
      </w:r>
      <w:r w:rsidR="001131E1" w:rsidRPr="00EB21B2">
        <w:rPr>
          <w:rFonts w:asciiTheme="majorHAnsi" w:hAnsiTheme="majorHAnsi" w:cstheme="majorHAnsi"/>
          <w:sz w:val="21"/>
          <w:szCs w:val="21"/>
        </w:rPr>
        <w:t>według trzech grup, do których są skierowane: samorządów, rządu, oraz ekspertów i naukowców.</w:t>
      </w:r>
    </w:p>
    <w:p w:rsidR="00476172" w:rsidRPr="00EB21B2" w:rsidRDefault="00476172" w:rsidP="00EB21B2">
      <w:pPr>
        <w:spacing w:line="16" w:lineRule="atLeast"/>
        <w:jc w:val="both"/>
        <w:rPr>
          <w:rFonts w:asciiTheme="majorHAnsi" w:hAnsiTheme="majorHAnsi" w:cstheme="majorHAnsi"/>
          <w:b/>
          <w:sz w:val="21"/>
          <w:szCs w:val="21"/>
        </w:rPr>
      </w:pPr>
      <w:r w:rsidRPr="00EB21B2">
        <w:rPr>
          <w:rFonts w:asciiTheme="majorHAnsi" w:hAnsiTheme="majorHAnsi" w:cstheme="majorHAnsi"/>
          <w:b/>
          <w:sz w:val="21"/>
          <w:szCs w:val="21"/>
        </w:rPr>
        <w:t>Zakres raportu</w:t>
      </w:r>
    </w:p>
    <w:p w:rsidR="00B1113E" w:rsidRPr="00EB21B2" w:rsidRDefault="00476172" w:rsidP="00EB21B2">
      <w:pPr>
        <w:pStyle w:val="Tekstgwnybezwcicia"/>
        <w:spacing w:after="160" w:line="16" w:lineRule="atLeast"/>
        <w:rPr>
          <w:rFonts w:asciiTheme="majorHAnsi" w:hAnsiTheme="majorHAnsi" w:cstheme="majorHAnsi"/>
          <w:color w:val="auto"/>
          <w:sz w:val="21"/>
          <w:szCs w:val="21"/>
        </w:rPr>
      </w:pPr>
      <w:r w:rsidRPr="00EB21B2">
        <w:rPr>
          <w:rFonts w:asciiTheme="majorHAnsi" w:hAnsiTheme="majorHAnsi" w:cstheme="majorHAnsi"/>
          <w:color w:val="auto"/>
          <w:sz w:val="21"/>
          <w:szCs w:val="21"/>
        </w:rPr>
        <w:t xml:space="preserve">Publikacja składa się z dwóch powiązanych części. Pierwsza ma charakter monitoringowy </w:t>
      </w:r>
      <w:r w:rsidR="00837151" w:rsidRPr="00EB21B2">
        <w:rPr>
          <w:rFonts w:asciiTheme="majorHAnsi" w:hAnsiTheme="majorHAnsi" w:cstheme="majorHAnsi"/>
          <w:color w:val="auto"/>
          <w:sz w:val="21"/>
          <w:szCs w:val="21"/>
        </w:rPr>
        <w:br/>
      </w:r>
      <w:r w:rsidRPr="00EB21B2">
        <w:rPr>
          <w:rFonts w:asciiTheme="majorHAnsi" w:hAnsiTheme="majorHAnsi" w:cstheme="majorHAnsi"/>
          <w:color w:val="auto"/>
          <w:sz w:val="21"/>
          <w:szCs w:val="21"/>
        </w:rPr>
        <w:t xml:space="preserve">i będzie cyklicznie powtarzana co 3 lata. </w:t>
      </w:r>
      <w:r w:rsidR="00D61BF4" w:rsidRPr="00EB21B2">
        <w:rPr>
          <w:rFonts w:asciiTheme="majorHAnsi" w:hAnsiTheme="majorHAnsi" w:cstheme="majorHAnsi"/>
          <w:color w:val="auto"/>
          <w:sz w:val="21"/>
          <w:szCs w:val="21"/>
        </w:rPr>
        <w:t xml:space="preserve">W ramach niej </w:t>
      </w:r>
      <w:r w:rsidR="00B1113E" w:rsidRPr="00EB21B2">
        <w:rPr>
          <w:rFonts w:asciiTheme="majorHAnsi" w:hAnsiTheme="majorHAnsi" w:cstheme="majorHAnsi"/>
          <w:color w:val="auto"/>
          <w:sz w:val="21"/>
          <w:szCs w:val="21"/>
        </w:rPr>
        <w:t xml:space="preserve">przyjrzano się programom </w:t>
      </w:r>
      <w:r w:rsidR="00B1113E" w:rsidRPr="00EB21B2">
        <w:rPr>
          <w:rFonts w:asciiTheme="majorHAnsi" w:hAnsiTheme="majorHAnsi" w:cstheme="majorHAnsi"/>
          <w:color w:val="auto"/>
          <w:sz w:val="21"/>
          <w:szCs w:val="21"/>
        </w:rPr>
        <w:t xml:space="preserve">rewitalizacji we wszystkich polskich miastach, ze szczególnym uwzględnieniem planowanych przedsięwzięć rewitalizacyjnych. </w:t>
      </w:r>
    </w:p>
    <w:p w:rsidR="00B1113E" w:rsidRPr="00EB21B2" w:rsidRDefault="00B1113E" w:rsidP="00EB21B2">
      <w:pPr>
        <w:pStyle w:val="Tekstgwnybezwcicia"/>
        <w:spacing w:after="160" w:line="16" w:lineRule="atLeast"/>
        <w:rPr>
          <w:rFonts w:asciiTheme="majorHAnsi" w:hAnsiTheme="majorHAnsi" w:cstheme="majorHAnsi"/>
          <w:color w:val="auto"/>
          <w:sz w:val="21"/>
          <w:szCs w:val="21"/>
        </w:rPr>
      </w:pPr>
      <w:r w:rsidRPr="00EB21B2">
        <w:rPr>
          <w:rFonts w:asciiTheme="majorHAnsi" w:hAnsiTheme="majorHAnsi" w:cstheme="majorHAnsi"/>
          <w:color w:val="auto"/>
          <w:sz w:val="21"/>
          <w:szCs w:val="21"/>
        </w:rPr>
        <w:t>Kolejna częś</w:t>
      </w:r>
      <w:r w:rsidRPr="00EB21B2">
        <w:rPr>
          <w:rFonts w:asciiTheme="majorHAnsi" w:hAnsiTheme="majorHAnsi" w:cstheme="majorHAnsi"/>
          <w:color w:val="auto"/>
          <w:sz w:val="21"/>
          <w:szCs w:val="21"/>
        </w:rPr>
        <w:t>ć, czyli „Spojrzenie w głąb”, ma charakter monograficzny i obejmuje cztery kluczowe zagadnienia, które były przedmiotem sesji tematycznych podczas V Kongresu Rewitalizacji „Systemy rewitalizacji w Polsce: blaski i cienie” (2018 r.)</w:t>
      </w:r>
      <w:r w:rsidRPr="00EB21B2">
        <w:rPr>
          <w:rFonts w:asciiTheme="majorHAnsi" w:hAnsiTheme="majorHAnsi" w:cstheme="majorHAnsi"/>
          <w:i/>
          <w:color w:val="auto"/>
          <w:sz w:val="21"/>
          <w:szCs w:val="21"/>
        </w:rPr>
        <w:t xml:space="preserve">. </w:t>
      </w:r>
      <w:r w:rsidRPr="00EB21B2">
        <w:rPr>
          <w:rFonts w:asciiTheme="majorHAnsi" w:hAnsiTheme="majorHAnsi" w:cstheme="majorHAnsi"/>
          <w:color w:val="auto"/>
          <w:sz w:val="21"/>
          <w:szCs w:val="21"/>
        </w:rPr>
        <w:t>Są to: rewitalizacja centrów miast, kurczenie się polskich miast a rewitalizacja, rewitalizacja a mieszkalnictwo oraz rewitalizacja a odnowa wsi. Również w części monograficznej syntetycznie przedstawiono i podsumowano doświadczenia zgromadzone przez miasta pilotażowe i modelowe w ramach prowadzonych projektów rewitalizacyjnych.</w:t>
      </w:r>
    </w:p>
    <w:p w:rsidR="0039467C" w:rsidRPr="000070B9" w:rsidRDefault="007D61B3" w:rsidP="000070B9">
      <w:pPr>
        <w:spacing w:line="16" w:lineRule="atLeast"/>
        <w:jc w:val="both"/>
        <w:rPr>
          <w:rFonts w:asciiTheme="majorHAnsi" w:hAnsiTheme="majorHAnsi" w:cstheme="majorHAnsi"/>
          <w:b/>
          <w:sz w:val="21"/>
          <w:szCs w:val="21"/>
        </w:rPr>
      </w:pPr>
      <w:r w:rsidRPr="000070B9">
        <w:rPr>
          <w:rFonts w:asciiTheme="majorHAnsi" w:hAnsiTheme="majorHAnsi" w:cstheme="majorHAnsi"/>
          <w:b/>
          <w:sz w:val="21"/>
          <w:szCs w:val="21"/>
        </w:rPr>
        <w:t xml:space="preserve">Kluczowe </w:t>
      </w:r>
      <w:r w:rsidR="009C15D8" w:rsidRPr="000070B9">
        <w:rPr>
          <w:rFonts w:asciiTheme="majorHAnsi" w:hAnsiTheme="majorHAnsi" w:cstheme="majorHAnsi"/>
          <w:b/>
          <w:sz w:val="21"/>
          <w:szCs w:val="21"/>
        </w:rPr>
        <w:t>informacje</w:t>
      </w:r>
    </w:p>
    <w:p w:rsidR="00CE66E2" w:rsidRPr="000070B9" w:rsidRDefault="00CE66E2" w:rsidP="000070B9">
      <w:pPr>
        <w:pStyle w:val="Akapitzlist"/>
        <w:numPr>
          <w:ilvl w:val="0"/>
          <w:numId w:val="10"/>
        </w:numPr>
        <w:spacing w:line="16" w:lineRule="atLeast"/>
        <w:ind w:left="709"/>
        <w:jc w:val="both"/>
        <w:rPr>
          <w:rStyle w:val="Pogrubienie1"/>
          <w:rFonts w:asciiTheme="majorHAnsi" w:hAnsiTheme="majorHAnsi" w:cstheme="majorHAnsi"/>
          <w:bCs/>
          <w:color w:val="ED7D31"/>
          <w:sz w:val="21"/>
          <w:szCs w:val="21"/>
        </w:rPr>
      </w:pPr>
      <w:r w:rsidRPr="000070B9">
        <w:rPr>
          <w:rStyle w:val="Pogrubienie1"/>
          <w:rFonts w:asciiTheme="majorHAnsi" w:hAnsiTheme="majorHAnsi" w:cstheme="majorHAnsi"/>
          <w:color w:val="ED7D31"/>
          <w:sz w:val="21"/>
          <w:szCs w:val="21"/>
        </w:rPr>
        <w:t>Rewitalizacja nie jest lekiem na wszystko</w:t>
      </w:r>
    </w:p>
    <w:p w:rsidR="00CE66E2" w:rsidRDefault="00CE66E2" w:rsidP="000070B9">
      <w:pPr>
        <w:pStyle w:val="Akapitzlist"/>
        <w:spacing w:line="16" w:lineRule="atLeast"/>
        <w:ind w:left="709"/>
        <w:jc w:val="both"/>
        <w:rPr>
          <w:rFonts w:asciiTheme="majorHAnsi" w:hAnsiTheme="majorHAnsi" w:cstheme="majorHAnsi"/>
          <w:sz w:val="21"/>
          <w:szCs w:val="21"/>
        </w:rPr>
      </w:pPr>
      <w:r w:rsidRPr="000070B9">
        <w:rPr>
          <w:rStyle w:val="Pogrubienie1"/>
          <w:rFonts w:asciiTheme="majorHAnsi" w:hAnsiTheme="majorHAnsi" w:cstheme="majorHAnsi"/>
          <w:color w:val="auto"/>
          <w:sz w:val="21"/>
          <w:szCs w:val="21"/>
        </w:rPr>
        <w:t>Rewitalizację błędnie traktuje się jako całościowe narzędzie do rozwiązywania problemów miast kurczących się, będących w głębokim kryzysie</w:t>
      </w:r>
      <w:r w:rsidRPr="000070B9">
        <w:rPr>
          <w:rFonts w:asciiTheme="majorHAnsi" w:hAnsiTheme="majorHAnsi" w:cstheme="majorHAnsi"/>
          <w:sz w:val="21"/>
          <w:szCs w:val="21"/>
        </w:rPr>
        <w:t>, najczęściej w związku z utratą dotychczasowych funkcji i części swojej bazy ekonomicznej. Liczba mieszkańców większości polskich miast zmniejszyła się w ostatnich latach. Zgodnie z prognozami Głównego Urzędu Statystycznego (GUS) oraz Instytutu Geografii i Przestrzennego Zagospodarowania (</w:t>
      </w:r>
      <w:proofErr w:type="spellStart"/>
      <w:r w:rsidRPr="000070B9">
        <w:rPr>
          <w:rFonts w:asciiTheme="majorHAnsi" w:hAnsiTheme="majorHAnsi" w:cstheme="majorHAnsi"/>
          <w:sz w:val="21"/>
          <w:szCs w:val="21"/>
        </w:rPr>
        <w:t>IGiPZ</w:t>
      </w:r>
      <w:proofErr w:type="spellEnd"/>
      <w:r w:rsidRPr="000070B9">
        <w:rPr>
          <w:rFonts w:asciiTheme="majorHAnsi" w:hAnsiTheme="majorHAnsi" w:cstheme="majorHAnsi"/>
          <w:sz w:val="21"/>
          <w:szCs w:val="21"/>
        </w:rPr>
        <w:t>) PAN proces ten nie tylko nie wyhamuje, ale będzie przyspieszał i do 2050 r. liczba mieszkańców niektórych miast zmniejszy się o 40, a nawet o 50%</w:t>
      </w:r>
      <w:r w:rsidRPr="000070B9">
        <w:rPr>
          <w:rFonts w:asciiTheme="majorHAnsi" w:hAnsiTheme="majorHAnsi" w:cstheme="majorHAnsi"/>
          <w:sz w:val="21"/>
          <w:szCs w:val="21"/>
        </w:rPr>
        <w:t xml:space="preserve">. </w:t>
      </w:r>
      <w:r w:rsidRPr="000070B9">
        <w:rPr>
          <w:rFonts w:asciiTheme="majorHAnsi" w:hAnsiTheme="majorHAnsi" w:cstheme="majorHAnsi"/>
          <w:sz w:val="21"/>
          <w:szCs w:val="21"/>
        </w:rPr>
        <w:t xml:space="preserve">Trudno oczekiwać, by realne i długotrwałe zmiany tendencji np. w Wałbrzychu i Bytomiu (najszybciej </w:t>
      </w:r>
      <w:proofErr w:type="spellStart"/>
      <w:r w:rsidRPr="000070B9">
        <w:rPr>
          <w:rFonts w:asciiTheme="majorHAnsi" w:hAnsiTheme="majorHAnsi" w:cstheme="majorHAnsi"/>
          <w:sz w:val="21"/>
          <w:szCs w:val="21"/>
        </w:rPr>
        <w:t>depopulujących</w:t>
      </w:r>
      <w:proofErr w:type="spellEnd"/>
      <w:r w:rsidRPr="000070B9">
        <w:rPr>
          <w:rFonts w:asciiTheme="majorHAnsi" w:hAnsiTheme="majorHAnsi" w:cstheme="majorHAnsi"/>
          <w:sz w:val="21"/>
          <w:szCs w:val="21"/>
        </w:rPr>
        <w:t xml:space="preserve"> się miastach w Polsce) czy Łodzi (która od 1990 r. straciła ponad 165 tys. mieszkańców, stając się liderem depopulacji Polski w wartościach bezwzględnych) mogły nastąpić w wyniku wdrażania samych tylko programów rewitalizacji. </w:t>
      </w:r>
    </w:p>
    <w:p w:rsidR="00EB21B2" w:rsidRDefault="00EB21B2" w:rsidP="000070B9">
      <w:pPr>
        <w:pStyle w:val="Akapitzlist"/>
        <w:spacing w:line="16" w:lineRule="atLeast"/>
        <w:ind w:left="709"/>
        <w:jc w:val="both"/>
        <w:rPr>
          <w:rFonts w:asciiTheme="majorHAnsi" w:hAnsiTheme="majorHAnsi" w:cstheme="majorHAnsi"/>
          <w:b/>
          <w:bCs/>
          <w:color w:val="ED7D31"/>
          <w:sz w:val="21"/>
          <w:szCs w:val="21"/>
        </w:rPr>
      </w:pPr>
    </w:p>
    <w:p w:rsidR="00EB21B2" w:rsidRPr="000070B9" w:rsidRDefault="00EB21B2" w:rsidP="000070B9">
      <w:pPr>
        <w:pStyle w:val="Akapitzlist"/>
        <w:spacing w:line="16" w:lineRule="atLeast"/>
        <w:ind w:left="709"/>
        <w:jc w:val="both"/>
        <w:rPr>
          <w:rFonts w:asciiTheme="majorHAnsi" w:hAnsiTheme="majorHAnsi" w:cstheme="majorHAnsi"/>
          <w:b/>
          <w:bCs/>
          <w:color w:val="ED7D31"/>
          <w:sz w:val="21"/>
          <w:szCs w:val="21"/>
        </w:rPr>
      </w:pPr>
    </w:p>
    <w:p w:rsidR="00CE66E2" w:rsidRPr="000070B9" w:rsidRDefault="00CE66E2" w:rsidP="00EB21B2">
      <w:pPr>
        <w:pStyle w:val="Akapitzlist"/>
        <w:numPr>
          <w:ilvl w:val="0"/>
          <w:numId w:val="10"/>
        </w:numPr>
        <w:spacing w:line="16" w:lineRule="atLeast"/>
        <w:ind w:left="567"/>
        <w:jc w:val="both"/>
        <w:rPr>
          <w:rStyle w:val="Pogrubienie1"/>
          <w:rFonts w:asciiTheme="majorHAnsi" w:hAnsiTheme="majorHAnsi" w:cstheme="majorHAnsi"/>
          <w:bCs/>
          <w:color w:val="ED7D31"/>
          <w:sz w:val="21"/>
          <w:szCs w:val="21"/>
        </w:rPr>
      </w:pPr>
      <w:r w:rsidRPr="000070B9">
        <w:rPr>
          <w:rStyle w:val="Pogrubienie1"/>
          <w:rFonts w:asciiTheme="majorHAnsi" w:hAnsiTheme="majorHAnsi" w:cstheme="majorHAnsi"/>
          <w:color w:val="ED7D31"/>
          <w:sz w:val="21"/>
          <w:szCs w:val="21"/>
        </w:rPr>
        <w:t>Wspomagacz obligatoryjnych zadań gminy</w:t>
      </w:r>
    </w:p>
    <w:p w:rsidR="00CE66E2" w:rsidRPr="000070B9" w:rsidRDefault="00CE66E2" w:rsidP="008612BD">
      <w:pPr>
        <w:pStyle w:val="Akapitzlist"/>
        <w:spacing w:line="16" w:lineRule="atLeast"/>
        <w:ind w:left="567"/>
        <w:jc w:val="both"/>
        <w:rPr>
          <w:rFonts w:asciiTheme="majorHAnsi" w:hAnsiTheme="majorHAnsi" w:cstheme="majorHAnsi"/>
          <w:sz w:val="21"/>
          <w:szCs w:val="21"/>
        </w:rPr>
      </w:pPr>
      <w:r w:rsidRPr="000070B9">
        <w:rPr>
          <w:rStyle w:val="Pogrubienie1"/>
          <w:rFonts w:asciiTheme="majorHAnsi" w:hAnsiTheme="majorHAnsi" w:cstheme="majorHAnsi"/>
          <w:color w:val="auto"/>
          <w:sz w:val="21"/>
          <w:szCs w:val="21"/>
        </w:rPr>
        <w:t xml:space="preserve">Rewitalizacja zazwyczaj nie jest traktowana jako specjalna interwencja publiczna w obszarach kryzysowych miasta, ale stała się dodatkowym źródłem finansowania miejskich inwestycji (zwłaszcza </w:t>
      </w:r>
      <w:r w:rsidRPr="000070B9">
        <w:rPr>
          <w:rStyle w:val="Pogrubienie1"/>
          <w:rFonts w:asciiTheme="majorHAnsi" w:hAnsiTheme="majorHAnsi" w:cstheme="majorHAnsi"/>
          <w:color w:val="auto"/>
          <w:sz w:val="21"/>
          <w:szCs w:val="21"/>
        </w:rPr>
        <w:lastRenderedPageBreak/>
        <w:t>infrastrukturalnych), bardzo często niewykraczających poza obligatoryjne zadania własne gminy.</w:t>
      </w:r>
      <w:r w:rsidRPr="000070B9">
        <w:rPr>
          <w:rFonts w:asciiTheme="majorHAnsi" w:hAnsiTheme="majorHAnsi" w:cstheme="majorHAnsi"/>
          <w:b/>
          <w:sz w:val="21"/>
          <w:szCs w:val="21"/>
        </w:rPr>
        <w:t xml:space="preserve"> </w:t>
      </w:r>
      <w:r w:rsidRPr="000070B9">
        <w:rPr>
          <w:rFonts w:asciiTheme="majorHAnsi" w:hAnsiTheme="majorHAnsi" w:cstheme="majorHAnsi"/>
          <w:sz w:val="21"/>
          <w:szCs w:val="21"/>
        </w:rPr>
        <w:t>Wniosek ten potwierdzają liczba zaplanowanych w analizowanych programach rewitalizacji 14 576 projektów podstawowych o łącznej wartości 47,4 mld zł</w:t>
      </w:r>
      <w:r w:rsidRPr="000070B9">
        <w:rPr>
          <w:rFonts w:asciiTheme="majorHAnsi" w:hAnsiTheme="majorHAnsi" w:cstheme="majorHAnsi"/>
          <w:b/>
          <w:sz w:val="21"/>
          <w:szCs w:val="21"/>
        </w:rPr>
        <w:t xml:space="preserve"> </w:t>
      </w:r>
      <w:r w:rsidRPr="000070B9">
        <w:rPr>
          <w:rFonts w:asciiTheme="majorHAnsi" w:hAnsiTheme="majorHAnsi" w:cstheme="majorHAnsi"/>
          <w:sz w:val="21"/>
          <w:szCs w:val="21"/>
        </w:rPr>
        <w:t>i</w:t>
      </w:r>
      <w:r w:rsidRPr="000070B9">
        <w:rPr>
          <w:rFonts w:asciiTheme="majorHAnsi" w:hAnsiTheme="majorHAnsi" w:cstheme="majorHAnsi"/>
          <w:b/>
          <w:sz w:val="21"/>
          <w:szCs w:val="21"/>
        </w:rPr>
        <w:t xml:space="preserve"> </w:t>
      </w:r>
      <w:r w:rsidRPr="000070B9">
        <w:rPr>
          <w:rFonts w:asciiTheme="majorHAnsi" w:hAnsiTheme="majorHAnsi" w:cstheme="majorHAnsi"/>
          <w:sz w:val="21"/>
          <w:szCs w:val="21"/>
        </w:rPr>
        <w:t xml:space="preserve">charakter zaplanowanych przedsięwzięć, wśród których główną rolę odgrywają inwestycje infrastrukturalne. </w:t>
      </w:r>
    </w:p>
    <w:p w:rsidR="000070B9" w:rsidRDefault="00CE66E2" w:rsidP="000070B9">
      <w:pPr>
        <w:pStyle w:val="Akapitzlist"/>
        <w:numPr>
          <w:ilvl w:val="0"/>
          <w:numId w:val="10"/>
        </w:numPr>
        <w:spacing w:line="16" w:lineRule="atLeast"/>
        <w:ind w:left="567"/>
        <w:jc w:val="both"/>
        <w:rPr>
          <w:rFonts w:asciiTheme="majorHAnsi" w:hAnsiTheme="majorHAnsi" w:cstheme="majorHAnsi"/>
          <w:b/>
          <w:color w:val="ED7D31"/>
          <w:sz w:val="21"/>
          <w:szCs w:val="21"/>
        </w:rPr>
      </w:pPr>
      <w:r w:rsidRPr="000070B9">
        <w:rPr>
          <w:rFonts w:asciiTheme="majorHAnsi" w:hAnsiTheme="majorHAnsi" w:cstheme="majorHAnsi"/>
          <w:b/>
          <w:color w:val="ED7D31"/>
          <w:sz w:val="21"/>
          <w:szCs w:val="21"/>
        </w:rPr>
        <w:t>Uzależnienie od środków zewnętrznych</w:t>
      </w:r>
    </w:p>
    <w:p w:rsidR="000070B9" w:rsidRPr="008612BD" w:rsidRDefault="00CE66E2" w:rsidP="008612BD">
      <w:pPr>
        <w:pStyle w:val="Akapitzlist"/>
        <w:spacing w:line="16" w:lineRule="atLeast"/>
        <w:ind w:left="567"/>
        <w:jc w:val="both"/>
        <w:rPr>
          <w:rFonts w:asciiTheme="majorHAnsi" w:hAnsiTheme="majorHAnsi" w:cstheme="majorHAnsi"/>
          <w:b/>
          <w:color w:val="ED7D31"/>
          <w:sz w:val="21"/>
          <w:szCs w:val="21"/>
        </w:rPr>
      </w:pPr>
      <w:r w:rsidRPr="000070B9">
        <w:rPr>
          <w:rStyle w:val="Pogrubienie1"/>
          <w:rFonts w:asciiTheme="majorHAnsi" w:hAnsiTheme="majorHAnsi" w:cstheme="majorHAnsi"/>
          <w:color w:val="auto"/>
          <w:sz w:val="21"/>
          <w:szCs w:val="21"/>
        </w:rPr>
        <w:t>Rewitalizacja w Polsce jest zdecydowanie uzależniona od środków pochodzących z programów unijnych, a zainteresowanie miast rewitalizacją ma związek z wielkością środków alokowanych na ten cel w R</w:t>
      </w:r>
      <w:r w:rsidR="000070B9" w:rsidRPr="000070B9">
        <w:rPr>
          <w:rStyle w:val="Pogrubienie1"/>
          <w:rFonts w:asciiTheme="majorHAnsi" w:hAnsiTheme="majorHAnsi" w:cstheme="majorHAnsi"/>
          <w:color w:val="auto"/>
          <w:sz w:val="21"/>
          <w:szCs w:val="21"/>
        </w:rPr>
        <w:t xml:space="preserve">egionalnych </w:t>
      </w:r>
      <w:r w:rsidRPr="000070B9">
        <w:rPr>
          <w:rStyle w:val="Pogrubienie1"/>
          <w:rFonts w:asciiTheme="majorHAnsi" w:hAnsiTheme="majorHAnsi" w:cstheme="majorHAnsi"/>
          <w:color w:val="auto"/>
          <w:sz w:val="21"/>
          <w:szCs w:val="21"/>
        </w:rPr>
        <w:t>P</w:t>
      </w:r>
      <w:r w:rsidR="000070B9" w:rsidRPr="000070B9">
        <w:rPr>
          <w:rStyle w:val="Pogrubienie1"/>
          <w:rFonts w:asciiTheme="majorHAnsi" w:hAnsiTheme="majorHAnsi" w:cstheme="majorHAnsi"/>
          <w:color w:val="auto"/>
          <w:sz w:val="21"/>
          <w:szCs w:val="21"/>
        </w:rPr>
        <w:t xml:space="preserve">rogramach </w:t>
      </w:r>
      <w:r w:rsidRPr="000070B9">
        <w:rPr>
          <w:rStyle w:val="Pogrubienie1"/>
          <w:rFonts w:asciiTheme="majorHAnsi" w:hAnsiTheme="majorHAnsi" w:cstheme="majorHAnsi"/>
          <w:color w:val="auto"/>
          <w:sz w:val="21"/>
          <w:szCs w:val="21"/>
        </w:rPr>
        <w:t>O</w:t>
      </w:r>
      <w:r w:rsidR="000070B9" w:rsidRPr="000070B9">
        <w:rPr>
          <w:rStyle w:val="Pogrubienie1"/>
          <w:rFonts w:asciiTheme="majorHAnsi" w:hAnsiTheme="majorHAnsi" w:cstheme="majorHAnsi"/>
          <w:color w:val="auto"/>
          <w:sz w:val="21"/>
          <w:szCs w:val="21"/>
        </w:rPr>
        <w:t>peracyjnych (RPO)</w:t>
      </w:r>
      <w:r w:rsidRPr="000070B9">
        <w:rPr>
          <w:rStyle w:val="Pogrubienie1"/>
          <w:rFonts w:asciiTheme="majorHAnsi" w:hAnsiTheme="majorHAnsi" w:cstheme="majorHAnsi"/>
          <w:color w:val="auto"/>
          <w:sz w:val="21"/>
          <w:szCs w:val="21"/>
        </w:rPr>
        <w:t>.</w:t>
      </w:r>
      <w:r w:rsidRPr="000070B9">
        <w:rPr>
          <w:rFonts w:asciiTheme="majorHAnsi" w:hAnsiTheme="majorHAnsi" w:cstheme="majorHAnsi"/>
          <w:sz w:val="21"/>
          <w:szCs w:val="21"/>
        </w:rPr>
        <w:t xml:space="preserve"> Środki publiczne przeznaczane na programy nie powinny finansować ich w większości, ale pomagać w mobilizacji kapitału, usuwaniu kluczowych barier oraz wykorzystaniu instrumentów zwrotnych. Z przeprowadzonych badań i analiz wynika, że rewitalizacja jest w praktyce utożsamiana z projektami współfinansowanymi ze środków publicznych, zazwyczaj europejskich, a skala jej praktycznej realizacji jest uzależniona od sukcesu w konkursach na dofinansowanie projektów. </w:t>
      </w:r>
      <w:r w:rsidRPr="000070B9">
        <w:rPr>
          <w:rStyle w:val="Pogrubienie1"/>
          <w:rFonts w:asciiTheme="majorHAnsi" w:hAnsiTheme="majorHAnsi" w:cstheme="majorHAnsi"/>
          <w:color w:val="auto"/>
          <w:sz w:val="21"/>
          <w:szCs w:val="21"/>
        </w:rPr>
        <w:t>Podejście do wyboru projektów planowanych do dofinansowania w ramach rewitalizacji ze źródeł zewnętrznych jest instrumentalne.</w:t>
      </w:r>
      <w:r w:rsidRPr="000070B9">
        <w:rPr>
          <w:rFonts w:asciiTheme="majorHAnsi" w:hAnsiTheme="majorHAnsi" w:cstheme="majorHAnsi"/>
          <w:b/>
          <w:sz w:val="21"/>
          <w:szCs w:val="21"/>
        </w:rPr>
        <w:t xml:space="preserve"> </w:t>
      </w:r>
      <w:r w:rsidRPr="000070B9">
        <w:rPr>
          <w:rFonts w:asciiTheme="majorHAnsi" w:hAnsiTheme="majorHAnsi" w:cstheme="majorHAnsi"/>
          <w:sz w:val="21"/>
          <w:szCs w:val="21"/>
        </w:rPr>
        <w:t xml:space="preserve">Miasta często decydują się na wpisanie do programu rewitalizacji kapitałochłonnych inwestycji z nadzieją na otrzymanie środków zewnętrznych, a jednocześnie nie skupiają się na takich, które mogłyby skutecznie realizować bez środków z RPO. Z uwagi na powszechność takiego podejścia i ograniczoną wartość środków do podziału między wnioskodawców </w:t>
      </w:r>
      <w:r w:rsidRPr="000070B9">
        <w:rPr>
          <w:rStyle w:val="Pogrubienie1"/>
          <w:rFonts w:asciiTheme="majorHAnsi" w:hAnsiTheme="majorHAnsi" w:cstheme="majorHAnsi"/>
          <w:color w:val="auto"/>
          <w:sz w:val="21"/>
          <w:szCs w:val="21"/>
        </w:rPr>
        <w:t>zdecydowana większość projektów nie otrzyma dofinansowania i nie ma szansy na realizację</w:t>
      </w:r>
      <w:r w:rsidRPr="000070B9">
        <w:rPr>
          <w:rFonts w:asciiTheme="majorHAnsi" w:hAnsiTheme="majorHAnsi" w:cstheme="majorHAnsi"/>
          <w:sz w:val="21"/>
          <w:szCs w:val="21"/>
        </w:rPr>
        <w:t xml:space="preserve">. </w:t>
      </w:r>
    </w:p>
    <w:p w:rsidR="000070B9" w:rsidRDefault="000070B9" w:rsidP="000070B9">
      <w:pPr>
        <w:pStyle w:val="Akapitzlist"/>
        <w:numPr>
          <w:ilvl w:val="0"/>
          <w:numId w:val="10"/>
        </w:numPr>
        <w:spacing w:line="16" w:lineRule="atLeast"/>
        <w:ind w:left="567" w:hanging="283"/>
        <w:jc w:val="both"/>
        <w:rPr>
          <w:rStyle w:val="Pogrubienie1"/>
          <w:rFonts w:asciiTheme="majorHAnsi" w:hAnsiTheme="majorHAnsi" w:cstheme="majorHAnsi"/>
          <w:color w:val="ED7D31"/>
          <w:sz w:val="21"/>
          <w:szCs w:val="21"/>
        </w:rPr>
      </w:pPr>
      <w:r w:rsidRPr="000070B9">
        <w:rPr>
          <w:rFonts w:asciiTheme="majorHAnsi" w:hAnsiTheme="majorHAnsi" w:cstheme="majorHAnsi"/>
          <w:b/>
          <w:color w:val="ED7D31"/>
          <w:sz w:val="21"/>
          <w:szCs w:val="21"/>
        </w:rPr>
        <w:t>Niechciane g</w:t>
      </w:r>
      <w:r w:rsidRPr="000070B9">
        <w:rPr>
          <w:rStyle w:val="Pogrubienie1"/>
          <w:rFonts w:asciiTheme="majorHAnsi" w:hAnsiTheme="majorHAnsi" w:cstheme="majorHAnsi"/>
          <w:color w:val="ED7D31"/>
          <w:sz w:val="21"/>
          <w:szCs w:val="21"/>
        </w:rPr>
        <w:t>minn</w:t>
      </w:r>
      <w:r w:rsidRPr="000070B9">
        <w:rPr>
          <w:rStyle w:val="Pogrubienie1"/>
          <w:rFonts w:asciiTheme="majorHAnsi" w:hAnsiTheme="majorHAnsi" w:cstheme="majorHAnsi"/>
          <w:color w:val="ED7D31"/>
          <w:sz w:val="21"/>
          <w:szCs w:val="21"/>
        </w:rPr>
        <w:t>e</w:t>
      </w:r>
      <w:r w:rsidRPr="000070B9">
        <w:rPr>
          <w:rStyle w:val="Pogrubienie1"/>
          <w:rFonts w:asciiTheme="majorHAnsi" w:hAnsiTheme="majorHAnsi" w:cstheme="majorHAnsi"/>
          <w:color w:val="ED7D31"/>
          <w:sz w:val="21"/>
          <w:szCs w:val="21"/>
        </w:rPr>
        <w:t xml:space="preserve"> program</w:t>
      </w:r>
      <w:r w:rsidRPr="000070B9">
        <w:rPr>
          <w:rStyle w:val="Pogrubienie1"/>
          <w:rFonts w:asciiTheme="majorHAnsi" w:hAnsiTheme="majorHAnsi" w:cstheme="majorHAnsi"/>
          <w:color w:val="ED7D31"/>
          <w:sz w:val="21"/>
          <w:szCs w:val="21"/>
        </w:rPr>
        <w:t>y</w:t>
      </w:r>
      <w:r w:rsidRPr="000070B9">
        <w:rPr>
          <w:rStyle w:val="Pogrubienie1"/>
          <w:rFonts w:asciiTheme="majorHAnsi" w:hAnsiTheme="majorHAnsi" w:cstheme="majorHAnsi"/>
          <w:color w:val="ED7D31"/>
          <w:sz w:val="21"/>
          <w:szCs w:val="21"/>
        </w:rPr>
        <w:t xml:space="preserve"> rewitalizacji</w:t>
      </w:r>
    </w:p>
    <w:p w:rsidR="000070B9" w:rsidRPr="000070B9" w:rsidRDefault="000070B9" w:rsidP="000070B9">
      <w:pPr>
        <w:pStyle w:val="Akapitzlist"/>
        <w:spacing w:line="16" w:lineRule="atLeast"/>
        <w:ind w:left="567"/>
        <w:jc w:val="both"/>
        <w:rPr>
          <w:rFonts w:asciiTheme="majorHAnsi" w:hAnsiTheme="majorHAnsi" w:cstheme="majorHAnsi"/>
          <w:b/>
          <w:sz w:val="21"/>
          <w:szCs w:val="21"/>
        </w:rPr>
      </w:pPr>
      <w:r w:rsidRPr="000070B9">
        <w:rPr>
          <w:rStyle w:val="Pogrubienie1"/>
          <w:rFonts w:asciiTheme="majorHAnsi" w:hAnsiTheme="majorHAnsi" w:cstheme="majorHAnsi"/>
          <w:color w:val="auto"/>
          <w:sz w:val="21"/>
          <w:szCs w:val="21"/>
        </w:rPr>
        <w:t>Gminny program rewitalizacji jako narzędzie prowadzenia działań rewitalizacyjnych nie cieszy się dużym zainteresowaniem miast.</w:t>
      </w:r>
      <w:r w:rsidRPr="000070B9">
        <w:rPr>
          <w:rFonts w:asciiTheme="majorHAnsi" w:hAnsiTheme="majorHAnsi" w:cstheme="majorHAnsi"/>
          <w:b/>
          <w:sz w:val="21"/>
          <w:szCs w:val="21"/>
        </w:rPr>
        <w:t xml:space="preserve"> </w:t>
      </w:r>
      <w:r w:rsidRPr="000070B9">
        <w:rPr>
          <w:rFonts w:asciiTheme="majorHAnsi" w:hAnsiTheme="majorHAnsi" w:cstheme="majorHAnsi"/>
          <w:sz w:val="21"/>
          <w:szCs w:val="21"/>
        </w:rPr>
        <w:t xml:space="preserve">GPR od 2015 r. funkcjonuje na mocy ustawy jako podstawa programowa prowadzenia działań rewitalizacyjnych, jednocześnie ustawodawca pozostawił gminom do 2023 r. swobodę wyboru pomiędzy dotychczas stosowanym LPR-em a nowym rozwiązaniem. Miasta jak dotąd niezbyt chętnie korzystają z rozwiązań ustawowych, dlatego LPR uchwaliło aż 76% miast, które podjęły się programowania rewitalizacji. Mała popularność GPR-u może wynikać z bardziej sformalizowanej procedury przygotowania. </w:t>
      </w:r>
      <w:r w:rsidRPr="000070B9">
        <w:rPr>
          <w:rFonts w:asciiTheme="majorHAnsi" w:hAnsiTheme="majorHAnsi" w:cstheme="majorHAnsi"/>
          <w:color w:val="000000"/>
          <w:sz w:val="21"/>
          <w:szCs w:val="21"/>
        </w:rPr>
        <w:t>Ponadto bardzo niewiele miast decyduje się na korzystanie z nowych narzędzi przypisanych GPR-om, tj. miejscowego planu rewitalizacji czy specjalnej strefy rewitalizacji.</w:t>
      </w:r>
    </w:p>
    <w:p w:rsidR="00857FCD" w:rsidRPr="000070B9" w:rsidRDefault="00857FCD" w:rsidP="000070B9">
      <w:pPr>
        <w:pStyle w:val="Akapitzlist"/>
        <w:spacing w:line="16" w:lineRule="atLeast"/>
        <w:ind w:left="709"/>
        <w:jc w:val="both"/>
        <w:rPr>
          <w:rFonts w:asciiTheme="majorHAnsi" w:hAnsiTheme="majorHAnsi" w:cstheme="majorHAnsi"/>
          <w:bCs/>
          <w:color w:val="1A1A18"/>
          <w:sz w:val="21"/>
          <w:szCs w:val="21"/>
        </w:rPr>
      </w:pPr>
    </w:p>
    <w:p w:rsidR="00804FBF" w:rsidRPr="000070B9" w:rsidRDefault="00804FBF" w:rsidP="000070B9">
      <w:pPr>
        <w:spacing w:line="16" w:lineRule="atLeast"/>
        <w:rPr>
          <w:rFonts w:asciiTheme="majorHAnsi" w:hAnsiTheme="majorHAnsi" w:cstheme="majorHAnsi"/>
          <w:b/>
          <w:bCs/>
          <w:color w:val="1A1A18"/>
          <w:sz w:val="21"/>
          <w:szCs w:val="21"/>
        </w:rPr>
      </w:pPr>
      <w:r w:rsidRPr="000070B9">
        <w:rPr>
          <w:rFonts w:asciiTheme="majorHAnsi" w:hAnsiTheme="majorHAnsi" w:cstheme="majorHAnsi"/>
          <w:b/>
          <w:bCs/>
          <w:color w:val="1A1A18"/>
          <w:sz w:val="21"/>
          <w:szCs w:val="21"/>
        </w:rPr>
        <w:t>Wybrane rekomendacje:</w:t>
      </w:r>
    </w:p>
    <w:p w:rsidR="004133E3" w:rsidRPr="000070B9" w:rsidRDefault="004133E3" w:rsidP="008612BD">
      <w:pPr>
        <w:pStyle w:val="Akapitzlist"/>
        <w:spacing w:line="16" w:lineRule="atLeast"/>
        <w:ind w:left="567"/>
        <w:rPr>
          <w:rFonts w:asciiTheme="majorHAnsi" w:hAnsiTheme="majorHAnsi" w:cstheme="majorHAnsi"/>
          <w:b/>
          <w:bCs/>
          <w:color w:val="ED7D31"/>
          <w:sz w:val="21"/>
          <w:szCs w:val="21"/>
        </w:rPr>
      </w:pPr>
      <w:r w:rsidRPr="000070B9">
        <w:rPr>
          <w:rFonts w:asciiTheme="majorHAnsi" w:hAnsiTheme="majorHAnsi" w:cstheme="majorHAnsi"/>
          <w:b/>
          <w:bCs/>
          <w:color w:val="ED7D31"/>
          <w:sz w:val="21"/>
          <w:szCs w:val="21"/>
        </w:rPr>
        <w:t>Dla władz krajowych</w:t>
      </w:r>
    </w:p>
    <w:p w:rsidR="000070B9" w:rsidRPr="008612BD" w:rsidRDefault="000070B9" w:rsidP="00EB21B2">
      <w:pPr>
        <w:pStyle w:val="Akapitzlist"/>
        <w:numPr>
          <w:ilvl w:val="0"/>
          <w:numId w:val="10"/>
        </w:numPr>
        <w:spacing w:line="16" w:lineRule="atLeast"/>
        <w:ind w:left="567"/>
        <w:jc w:val="both"/>
        <w:rPr>
          <w:rFonts w:asciiTheme="majorHAnsi" w:hAnsiTheme="majorHAnsi" w:cstheme="majorHAnsi"/>
          <w:sz w:val="21"/>
          <w:szCs w:val="21"/>
        </w:rPr>
      </w:pPr>
      <w:r w:rsidRPr="008612BD">
        <w:rPr>
          <w:rStyle w:val="Pogrubienie1"/>
          <w:rFonts w:asciiTheme="majorHAnsi" w:hAnsiTheme="majorHAnsi" w:cstheme="majorHAnsi"/>
          <w:color w:val="auto"/>
          <w:sz w:val="21"/>
          <w:szCs w:val="21"/>
        </w:rPr>
        <w:t>Potrzebna jest zmiana filozofii programowania i realizacji procesu rewitalizacji – od podejścia projektowego do kompleksowego podejścia obszarowego.</w:t>
      </w:r>
      <w:r w:rsidRPr="008612BD">
        <w:rPr>
          <w:rFonts w:asciiTheme="majorHAnsi" w:hAnsiTheme="majorHAnsi" w:cstheme="majorHAnsi"/>
          <w:sz w:val="21"/>
          <w:szCs w:val="21"/>
        </w:rPr>
        <w:t xml:space="preserve"> Obecny system wsparcia rewitalizacji w regionalnych i krajowych programach operacyjnych (katalogi przedsięwzięć kwalifikujących się do finansowania) wzmacnia punktowy, a nie kompleksowy i zintegrowany przebieg rewitalizacji. Przy powszechnym zainteresowaniu rewitalizacją i ograniczonych środkach finansowych na ten cel prowadzi często do rozpraszania działań niż do ich koncentracji. Dotychczasowe doświadczenia polskich miast w obszarze rewitalizacji wskazują, że przy wsparciu środków europejskich w większości przypadków możliwa jest realizacja niewielkiej liczby projektów, które na ogół są ze sobą słabo powiązane. </w:t>
      </w:r>
    </w:p>
    <w:p w:rsidR="00D673A6" w:rsidRPr="008612BD" w:rsidRDefault="000070B9" w:rsidP="00EB21B2">
      <w:pPr>
        <w:pStyle w:val="Akapitzlist"/>
        <w:numPr>
          <w:ilvl w:val="0"/>
          <w:numId w:val="10"/>
        </w:numPr>
        <w:spacing w:line="16" w:lineRule="atLeast"/>
        <w:ind w:left="567"/>
        <w:jc w:val="both"/>
        <w:rPr>
          <w:rFonts w:asciiTheme="majorHAnsi" w:hAnsiTheme="majorHAnsi" w:cstheme="majorHAnsi"/>
          <w:sz w:val="21"/>
          <w:szCs w:val="21"/>
        </w:rPr>
      </w:pPr>
      <w:r w:rsidRPr="008612BD">
        <w:rPr>
          <w:rStyle w:val="Pogrubienie1"/>
          <w:rFonts w:asciiTheme="majorHAnsi" w:hAnsiTheme="majorHAnsi" w:cstheme="majorHAnsi"/>
          <w:color w:val="auto"/>
          <w:sz w:val="21"/>
          <w:szCs w:val="21"/>
        </w:rPr>
        <w:t>Konieczna jest ścisła integracja procesu rewitalizacji i polityki mieszkaniowej na obszarach rewitalizacji wraz z rozszerzeniem zakresu projektów mieszkaniowych w ramach rewitalizacji.</w:t>
      </w:r>
      <w:r w:rsidRPr="008612BD">
        <w:rPr>
          <w:rFonts w:asciiTheme="majorHAnsi" w:hAnsiTheme="majorHAnsi" w:cstheme="majorHAnsi"/>
          <w:sz w:val="21"/>
          <w:szCs w:val="21"/>
        </w:rPr>
        <w:t xml:space="preserve"> W państwach Europy Zachodniej (zwłaszcza Francja) polityka mieszkaniowa jest kluczowym elementem rewitalizacji. W Polsce projekty mieszkaniowe w ramach rewitalizacji stanowią niewielki odsetek podejmowanych przedsięwzięć. Jednocześnie w większości przypadków mają punktowy charakter (pojedyncze obiekty) i w gruncie rzeczy polegają na estetyzacji (termomodernizacja i remont wspólnych części budynków wielorodzinnych). Podejście to nie rozwiązuje istniejących problemów i w żaden sposób nie może być uznane za całościową odpowiedź na potrzeby. </w:t>
      </w:r>
      <w:r w:rsidR="00D673A6" w:rsidRPr="008612BD">
        <w:rPr>
          <w:rFonts w:asciiTheme="majorHAnsi" w:hAnsiTheme="majorHAnsi" w:cstheme="majorHAnsi"/>
          <w:b/>
          <w:bCs/>
          <w:sz w:val="21"/>
          <w:szCs w:val="21"/>
        </w:rPr>
        <w:t xml:space="preserve">Opracowanie systemu zachęt do współpracy międzygminnej w zakresie transportu. </w:t>
      </w:r>
      <w:r w:rsidR="00D673A6" w:rsidRPr="008612BD">
        <w:rPr>
          <w:rFonts w:asciiTheme="majorHAnsi" w:hAnsiTheme="majorHAnsi" w:cstheme="majorHAnsi"/>
          <w:sz w:val="21"/>
          <w:szCs w:val="21"/>
        </w:rPr>
        <w:t xml:space="preserve">Wspólne działania w zakresie organizacji sieci mogłyby doprowadzić </w:t>
      </w:r>
      <w:r w:rsidR="00D673A6" w:rsidRPr="000070B9">
        <w:rPr>
          <w:rFonts w:asciiTheme="majorHAnsi" w:hAnsiTheme="majorHAnsi" w:cstheme="majorHAnsi"/>
          <w:color w:val="1A1A18"/>
          <w:sz w:val="21"/>
          <w:szCs w:val="21"/>
        </w:rPr>
        <w:t xml:space="preserve">do obniżenia kosztów funkcjonowania transportu zbiorowego w poszczególnych ośrodkach. Poprawiłby się </w:t>
      </w:r>
      <w:r w:rsidR="00D673A6" w:rsidRPr="008612BD">
        <w:rPr>
          <w:rFonts w:asciiTheme="majorHAnsi" w:hAnsiTheme="majorHAnsi" w:cstheme="majorHAnsi"/>
          <w:sz w:val="21"/>
          <w:szCs w:val="21"/>
        </w:rPr>
        <w:t xml:space="preserve">również poziom integracji, co mogłoby się przyczynić do poprawy dostępności (i obsługi większej liczby mieszkańców mniejszym kosztem). Dlatego też warto pomyśleć </w:t>
      </w:r>
      <w:r w:rsidR="00D673A6" w:rsidRPr="008612BD">
        <w:rPr>
          <w:rFonts w:asciiTheme="majorHAnsi" w:hAnsiTheme="majorHAnsi" w:cstheme="majorHAnsi"/>
          <w:sz w:val="21"/>
          <w:szCs w:val="21"/>
        </w:rPr>
        <w:lastRenderedPageBreak/>
        <w:t>o stworzeniu systemu zachęt, ułatwień i narzędzi umożliwiających pogłębienie współpracy w zakresie transportu publicznego, a także wspólnej realizacji inwestycji drogowych</w:t>
      </w:r>
    </w:p>
    <w:p w:rsidR="000070B9" w:rsidRPr="008612BD" w:rsidRDefault="000070B9" w:rsidP="00EB21B2">
      <w:pPr>
        <w:pStyle w:val="Akapitzlist"/>
        <w:numPr>
          <w:ilvl w:val="0"/>
          <w:numId w:val="10"/>
        </w:numPr>
        <w:spacing w:line="16" w:lineRule="atLeast"/>
        <w:ind w:left="567"/>
        <w:jc w:val="both"/>
        <w:rPr>
          <w:rFonts w:asciiTheme="majorHAnsi" w:hAnsiTheme="majorHAnsi" w:cstheme="majorHAnsi"/>
          <w:b/>
          <w:sz w:val="21"/>
          <w:szCs w:val="21"/>
        </w:rPr>
      </w:pPr>
      <w:r w:rsidRPr="008612BD">
        <w:rPr>
          <w:rStyle w:val="Pogrubienie1"/>
          <w:rFonts w:asciiTheme="majorHAnsi" w:hAnsiTheme="majorHAnsi" w:cstheme="majorHAnsi"/>
          <w:color w:val="auto"/>
          <w:sz w:val="21"/>
          <w:szCs w:val="21"/>
        </w:rPr>
        <w:t>Postuluje się wypracowanie narzędzia dedykowanego zarządzaniu miastami kurczącymi się.</w:t>
      </w:r>
      <w:r w:rsidR="008612BD">
        <w:rPr>
          <w:rStyle w:val="Pogrubienie1"/>
          <w:rFonts w:asciiTheme="majorHAnsi" w:hAnsiTheme="majorHAnsi" w:cstheme="majorHAnsi"/>
          <w:color w:val="auto"/>
          <w:sz w:val="21"/>
          <w:szCs w:val="21"/>
        </w:rPr>
        <w:t xml:space="preserve"> </w:t>
      </w:r>
      <w:r w:rsidRPr="008612BD">
        <w:rPr>
          <w:rFonts w:asciiTheme="majorHAnsi" w:hAnsiTheme="majorHAnsi" w:cstheme="majorHAnsi"/>
          <w:sz w:val="21"/>
          <w:szCs w:val="21"/>
        </w:rPr>
        <w:t>W miastach kurczących się stan kryzysowy dotyczy całego miasta (często także obszaru funkcjonalnego), a skala niezbędnej interwencji znacznie przekracza zakres przewidziany dla rewitalizacji. Konieczna jest redefinicja pojęcia rozwoju, który nie musi być utożsamiany z przyrostem ilościowym (wzrost liczby mieszkańców), ale zasadniczo powinien dotyczyć wzrostu jakościowego.</w:t>
      </w:r>
    </w:p>
    <w:p w:rsidR="005773BB" w:rsidRPr="000070B9" w:rsidRDefault="005773BB" w:rsidP="000070B9">
      <w:pPr>
        <w:spacing w:line="16" w:lineRule="atLeast"/>
        <w:rPr>
          <w:rFonts w:asciiTheme="majorHAnsi" w:hAnsiTheme="majorHAnsi" w:cstheme="majorHAnsi"/>
          <w:color w:val="1A1A18"/>
          <w:sz w:val="21"/>
          <w:szCs w:val="21"/>
        </w:rPr>
      </w:pPr>
    </w:p>
    <w:p w:rsidR="004133E3" w:rsidRPr="000070B9" w:rsidRDefault="004133E3" w:rsidP="008612BD">
      <w:pPr>
        <w:pStyle w:val="Akapitzlist"/>
        <w:spacing w:line="16" w:lineRule="atLeast"/>
        <w:ind w:left="567"/>
        <w:jc w:val="both"/>
        <w:rPr>
          <w:rFonts w:asciiTheme="majorHAnsi" w:hAnsiTheme="majorHAnsi" w:cstheme="majorHAnsi"/>
          <w:b/>
          <w:color w:val="ED7D31"/>
          <w:sz w:val="21"/>
          <w:szCs w:val="21"/>
        </w:rPr>
      </w:pPr>
      <w:r w:rsidRPr="000070B9">
        <w:rPr>
          <w:rFonts w:asciiTheme="majorHAnsi" w:hAnsiTheme="majorHAnsi" w:cstheme="majorHAnsi"/>
          <w:b/>
          <w:color w:val="ED7D31"/>
          <w:sz w:val="21"/>
          <w:szCs w:val="21"/>
        </w:rPr>
        <w:t xml:space="preserve">Dla władz </w:t>
      </w:r>
      <w:r w:rsidR="000070B9" w:rsidRPr="000070B9">
        <w:rPr>
          <w:rFonts w:asciiTheme="majorHAnsi" w:hAnsiTheme="majorHAnsi" w:cstheme="majorHAnsi"/>
          <w:b/>
          <w:color w:val="ED7D31"/>
          <w:sz w:val="21"/>
          <w:szCs w:val="21"/>
        </w:rPr>
        <w:t>regionalnych</w:t>
      </w:r>
    </w:p>
    <w:p w:rsidR="00AD2CC8" w:rsidRPr="008612BD" w:rsidRDefault="000070B9" w:rsidP="008612BD">
      <w:pPr>
        <w:pStyle w:val="Akapitzlist"/>
        <w:numPr>
          <w:ilvl w:val="0"/>
          <w:numId w:val="14"/>
        </w:numPr>
        <w:spacing w:line="16" w:lineRule="atLeast"/>
        <w:ind w:left="567" w:hanging="283"/>
        <w:jc w:val="both"/>
        <w:rPr>
          <w:rFonts w:asciiTheme="majorHAnsi" w:hAnsiTheme="majorHAnsi" w:cstheme="majorHAnsi"/>
          <w:sz w:val="21"/>
          <w:szCs w:val="21"/>
        </w:rPr>
      </w:pPr>
      <w:r w:rsidRPr="008612BD">
        <w:rPr>
          <w:rStyle w:val="Pogrubienie1"/>
          <w:rFonts w:asciiTheme="majorHAnsi" w:hAnsiTheme="majorHAnsi" w:cstheme="majorHAnsi"/>
          <w:color w:val="auto"/>
          <w:sz w:val="21"/>
          <w:szCs w:val="21"/>
        </w:rPr>
        <w:t>Konieczne jest wprowadzenie zmian w procedurze wyboru przedsięwzięć rewitalizacyjnych mających otrzymać wsparcie finansowe ze środków Unii Europejskiej.</w:t>
      </w:r>
      <w:r w:rsidRPr="008612BD">
        <w:rPr>
          <w:rFonts w:asciiTheme="majorHAnsi" w:hAnsiTheme="majorHAnsi" w:cstheme="majorHAnsi"/>
          <w:sz w:val="21"/>
          <w:szCs w:val="21"/>
        </w:rPr>
        <w:t xml:space="preserve"> Powinno się odchodzić od procedury konkursowej na rzecz negocjacji i ustalania konkretnych projektów w ramach dostępnych, wstępnie przypisanych do danych miast środków pomocowych. Takie podejście, wykorzystywane już w kilku regionach w latach 2007–2013, a także obecnie, pozwala na współfinansowanie dużej liczby relatywnie małych projektów, co zasadniczo zwiększa możliwość współpracy z różnego typu partnerami.</w:t>
      </w:r>
    </w:p>
    <w:p w:rsidR="000070B9" w:rsidRPr="008612BD" w:rsidRDefault="000070B9" w:rsidP="008612BD">
      <w:pPr>
        <w:spacing w:line="16" w:lineRule="atLeast"/>
        <w:ind w:left="567"/>
        <w:jc w:val="both"/>
        <w:rPr>
          <w:rFonts w:asciiTheme="majorHAnsi" w:hAnsiTheme="majorHAnsi" w:cstheme="majorHAnsi"/>
          <w:b/>
          <w:color w:val="ED7D31"/>
          <w:sz w:val="21"/>
          <w:szCs w:val="21"/>
        </w:rPr>
      </w:pPr>
      <w:r w:rsidRPr="000070B9">
        <w:rPr>
          <w:rFonts w:asciiTheme="majorHAnsi" w:hAnsiTheme="majorHAnsi" w:cstheme="majorHAnsi"/>
          <w:b/>
          <w:color w:val="ED7D31"/>
          <w:sz w:val="21"/>
          <w:szCs w:val="21"/>
        </w:rPr>
        <w:t xml:space="preserve">Dla władz </w:t>
      </w:r>
      <w:r w:rsidRPr="000070B9">
        <w:rPr>
          <w:rFonts w:asciiTheme="majorHAnsi" w:hAnsiTheme="majorHAnsi" w:cstheme="majorHAnsi"/>
          <w:b/>
          <w:color w:val="ED7D31"/>
          <w:sz w:val="21"/>
          <w:szCs w:val="21"/>
        </w:rPr>
        <w:t>lokalnych</w:t>
      </w:r>
    </w:p>
    <w:p w:rsidR="000070B9" w:rsidRPr="00EB21B2" w:rsidRDefault="000070B9" w:rsidP="00EB21B2">
      <w:pPr>
        <w:pStyle w:val="Akapitzlist"/>
        <w:numPr>
          <w:ilvl w:val="0"/>
          <w:numId w:val="14"/>
        </w:numPr>
        <w:spacing w:line="16" w:lineRule="atLeast"/>
        <w:ind w:left="567"/>
        <w:jc w:val="both"/>
        <w:rPr>
          <w:rStyle w:val="Pogrubienie1"/>
          <w:rFonts w:asciiTheme="majorHAnsi" w:hAnsiTheme="majorHAnsi" w:cstheme="majorHAnsi"/>
          <w:color w:val="auto"/>
          <w:sz w:val="21"/>
          <w:szCs w:val="21"/>
        </w:rPr>
      </w:pPr>
      <w:r w:rsidRPr="008612BD">
        <w:rPr>
          <w:rStyle w:val="Pogrubienie1"/>
          <w:rFonts w:asciiTheme="majorHAnsi" w:hAnsiTheme="majorHAnsi" w:cstheme="majorHAnsi"/>
          <w:color w:val="auto"/>
          <w:sz w:val="21"/>
          <w:szCs w:val="21"/>
        </w:rPr>
        <w:t>Na etapie programowania rewitalizacji należy zidentyfikować możliwości zawiązania partnerstw oraz szerszego włączenia podmiotów prywatnych w finansowanie rewitalizacji.</w:t>
      </w:r>
    </w:p>
    <w:p w:rsidR="000070B9" w:rsidRPr="008612BD" w:rsidRDefault="000070B9" w:rsidP="008612BD">
      <w:pPr>
        <w:pStyle w:val="Akapitzlist"/>
        <w:numPr>
          <w:ilvl w:val="0"/>
          <w:numId w:val="14"/>
        </w:numPr>
        <w:spacing w:line="16" w:lineRule="atLeast"/>
        <w:ind w:left="567"/>
        <w:jc w:val="both"/>
        <w:rPr>
          <w:rStyle w:val="Pogrubienie1"/>
          <w:rFonts w:asciiTheme="majorHAnsi" w:hAnsiTheme="majorHAnsi" w:cstheme="majorHAnsi"/>
          <w:color w:val="auto"/>
          <w:sz w:val="21"/>
          <w:szCs w:val="21"/>
        </w:rPr>
      </w:pPr>
      <w:r w:rsidRPr="008612BD">
        <w:rPr>
          <w:rStyle w:val="Pogrubienie1"/>
          <w:rFonts w:asciiTheme="majorHAnsi" w:hAnsiTheme="majorHAnsi" w:cstheme="majorHAnsi"/>
          <w:color w:val="auto"/>
          <w:sz w:val="21"/>
          <w:szCs w:val="21"/>
        </w:rPr>
        <w:t>Diagnozę problemów społecznych w obszarze przeznaczonym do rewitalizacji należy w większym zakresie powiązać z analizą problemów mieszkaniowych.</w:t>
      </w:r>
      <w:r w:rsidRPr="008612BD">
        <w:rPr>
          <w:rFonts w:asciiTheme="majorHAnsi" w:hAnsiTheme="majorHAnsi" w:cstheme="majorHAnsi"/>
          <w:sz w:val="21"/>
          <w:szCs w:val="21"/>
        </w:rPr>
        <w:t xml:space="preserve"> Program rewitalizacji powinien być bezpośrednio powiązany z lokalnym programem gospodarowania mieszkaniowymi zasobami gminy, a najlepiej stanowić mechanizm wdrażania tego programu na obszarze objętym rewitalizacją.</w:t>
      </w:r>
    </w:p>
    <w:p w:rsidR="000070B9" w:rsidRPr="00044E0E" w:rsidRDefault="000070B9" w:rsidP="000070B9">
      <w:pPr>
        <w:pStyle w:val="Akapitzlist"/>
        <w:spacing w:line="16" w:lineRule="atLeast"/>
        <w:ind w:left="709"/>
        <w:jc w:val="both"/>
        <w:rPr>
          <w:rFonts w:asciiTheme="majorHAnsi" w:hAnsiTheme="majorHAnsi" w:cstheme="majorHAnsi"/>
          <w:b/>
          <w:bCs/>
          <w:color w:val="1A1A18"/>
          <w:sz w:val="21"/>
          <w:szCs w:val="21"/>
        </w:rPr>
      </w:pPr>
    </w:p>
    <w:p w:rsidR="0053697E" w:rsidRPr="00044E0E" w:rsidRDefault="007A3B42" w:rsidP="0053697E">
      <w:pPr>
        <w:spacing w:line="276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044E0E">
        <w:rPr>
          <w:rFonts w:asciiTheme="majorHAnsi" w:hAnsiTheme="majorHAnsi" w:cstheme="majorHAnsi"/>
          <w:b/>
          <w:sz w:val="21"/>
          <w:szCs w:val="21"/>
        </w:rPr>
        <w:t>Raporty</w:t>
      </w:r>
      <w:r w:rsidR="00837151" w:rsidRPr="00044E0E">
        <w:rPr>
          <w:rFonts w:asciiTheme="majorHAnsi" w:hAnsiTheme="majorHAnsi" w:cstheme="majorHAnsi"/>
          <w:b/>
          <w:sz w:val="21"/>
          <w:szCs w:val="21"/>
        </w:rPr>
        <w:t xml:space="preserve"> o stanie polskich miast</w:t>
      </w:r>
      <w:r w:rsidRPr="00044E0E">
        <w:rPr>
          <w:rFonts w:asciiTheme="majorHAnsi" w:hAnsiTheme="majorHAnsi" w:cstheme="majorHAnsi"/>
          <w:b/>
          <w:sz w:val="21"/>
          <w:szCs w:val="21"/>
        </w:rPr>
        <w:t xml:space="preserve"> </w:t>
      </w:r>
    </w:p>
    <w:p w:rsidR="0053697E" w:rsidRPr="00044E0E" w:rsidRDefault="0053697E" w:rsidP="0053697E">
      <w:pPr>
        <w:spacing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044E0E">
        <w:rPr>
          <w:rFonts w:asciiTheme="majorHAnsi" w:hAnsiTheme="majorHAnsi" w:cstheme="majorHAnsi"/>
          <w:sz w:val="21"/>
          <w:szCs w:val="21"/>
        </w:rPr>
        <w:t>Obserwatorium Polityki Miejskiej to inicjatywa Instytutu Rozwoju Miast</w:t>
      </w:r>
      <w:r w:rsidR="00A0510A" w:rsidRPr="00044E0E">
        <w:rPr>
          <w:rFonts w:asciiTheme="majorHAnsi" w:hAnsiTheme="majorHAnsi" w:cstheme="majorHAnsi"/>
          <w:sz w:val="21"/>
          <w:szCs w:val="21"/>
        </w:rPr>
        <w:t xml:space="preserve"> i Regionów</w:t>
      </w:r>
      <w:r w:rsidRPr="00044E0E">
        <w:rPr>
          <w:rFonts w:asciiTheme="majorHAnsi" w:hAnsiTheme="majorHAnsi" w:cstheme="majorHAnsi"/>
          <w:sz w:val="21"/>
          <w:szCs w:val="21"/>
        </w:rPr>
        <w:t xml:space="preserve">, której głównym produktem jest cykl 11 raportów tematycznych, ukazujących się w cyklu trzyletnim. Przedmiotem badań są </w:t>
      </w:r>
      <w:r w:rsidRPr="00044E0E">
        <w:rPr>
          <w:rFonts w:asciiTheme="majorHAnsi" w:hAnsiTheme="majorHAnsi" w:cstheme="majorHAnsi"/>
          <w:sz w:val="21"/>
          <w:szCs w:val="21"/>
          <w:u w:val="single"/>
        </w:rPr>
        <w:t xml:space="preserve">wszystkie </w:t>
      </w:r>
      <w:r w:rsidRPr="00044E0E">
        <w:rPr>
          <w:rFonts w:asciiTheme="majorHAnsi" w:hAnsiTheme="majorHAnsi" w:cstheme="majorHAnsi"/>
          <w:sz w:val="21"/>
          <w:szCs w:val="21"/>
        </w:rPr>
        <w:t>miasta w Polsce. Dotychczas ukazał się raport:</w:t>
      </w:r>
    </w:p>
    <w:p w:rsidR="007A3B42" w:rsidRPr="00044E0E" w:rsidRDefault="0053697E" w:rsidP="007A3B42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i/>
          <w:sz w:val="21"/>
          <w:szCs w:val="21"/>
        </w:rPr>
      </w:pPr>
      <w:r w:rsidRPr="00044E0E">
        <w:rPr>
          <w:rFonts w:asciiTheme="majorHAnsi" w:hAnsiTheme="majorHAnsi" w:cstheme="majorHAnsi"/>
          <w:i/>
          <w:sz w:val="21"/>
          <w:szCs w:val="21"/>
        </w:rPr>
        <w:t xml:space="preserve">Rozwój </w:t>
      </w:r>
      <w:r w:rsidR="00BB516F" w:rsidRPr="00044E0E">
        <w:rPr>
          <w:rFonts w:asciiTheme="majorHAnsi" w:hAnsiTheme="majorHAnsi" w:cstheme="majorHAnsi"/>
          <w:i/>
          <w:sz w:val="21"/>
          <w:szCs w:val="21"/>
        </w:rPr>
        <w:t>g</w:t>
      </w:r>
      <w:r w:rsidRPr="00044E0E">
        <w:rPr>
          <w:rFonts w:asciiTheme="majorHAnsi" w:hAnsiTheme="majorHAnsi" w:cstheme="majorHAnsi"/>
          <w:i/>
          <w:sz w:val="21"/>
          <w:szCs w:val="21"/>
        </w:rPr>
        <w:t>ospodarczy</w:t>
      </w:r>
      <w:r w:rsidR="005A71C5" w:rsidRPr="00044E0E">
        <w:rPr>
          <w:rFonts w:asciiTheme="majorHAnsi" w:hAnsiTheme="majorHAnsi" w:cstheme="majorHAnsi"/>
          <w:i/>
          <w:sz w:val="21"/>
          <w:szCs w:val="21"/>
        </w:rPr>
        <w:t>;</w:t>
      </w:r>
    </w:p>
    <w:p w:rsidR="007A3B42" w:rsidRPr="00044E0E" w:rsidRDefault="0053697E" w:rsidP="007A3B42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i/>
          <w:sz w:val="21"/>
          <w:szCs w:val="21"/>
        </w:rPr>
      </w:pPr>
      <w:r w:rsidRPr="00044E0E">
        <w:rPr>
          <w:rFonts w:asciiTheme="majorHAnsi" w:hAnsiTheme="majorHAnsi" w:cstheme="majorHAnsi"/>
          <w:i/>
          <w:sz w:val="21"/>
          <w:szCs w:val="21"/>
        </w:rPr>
        <w:t>Niskoemisyjność i efektywność energetyczna</w:t>
      </w:r>
      <w:r w:rsidR="005A71C5" w:rsidRPr="00044E0E">
        <w:rPr>
          <w:rFonts w:asciiTheme="majorHAnsi" w:hAnsiTheme="majorHAnsi" w:cstheme="majorHAnsi"/>
          <w:i/>
          <w:sz w:val="21"/>
          <w:szCs w:val="21"/>
        </w:rPr>
        <w:t>;</w:t>
      </w:r>
      <w:r w:rsidRPr="00044E0E">
        <w:rPr>
          <w:rFonts w:asciiTheme="majorHAnsi" w:hAnsiTheme="majorHAnsi" w:cstheme="majorHAnsi"/>
          <w:i/>
          <w:sz w:val="21"/>
          <w:szCs w:val="21"/>
        </w:rPr>
        <w:t xml:space="preserve"> </w:t>
      </w:r>
    </w:p>
    <w:p w:rsidR="00B97867" w:rsidRDefault="007A3B42" w:rsidP="007A3B42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i/>
          <w:sz w:val="21"/>
          <w:szCs w:val="21"/>
        </w:rPr>
      </w:pPr>
      <w:r w:rsidRPr="00044E0E">
        <w:rPr>
          <w:rFonts w:asciiTheme="majorHAnsi" w:hAnsiTheme="majorHAnsi" w:cstheme="majorHAnsi"/>
          <w:i/>
          <w:sz w:val="21"/>
          <w:szCs w:val="21"/>
        </w:rPr>
        <w:t>Zarządzanie i współpraca w miejskich obszarach funkcjonalnych</w:t>
      </w:r>
      <w:r w:rsidR="00B97867" w:rsidRPr="00044E0E">
        <w:rPr>
          <w:rFonts w:asciiTheme="majorHAnsi" w:hAnsiTheme="majorHAnsi" w:cstheme="majorHAnsi"/>
          <w:i/>
          <w:sz w:val="21"/>
          <w:szCs w:val="21"/>
        </w:rPr>
        <w:t>;</w:t>
      </w:r>
    </w:p>
    <w:p w:rsidR="00EB21B2" w:rsidRPr="00044E0E" w:rsidRDefault="00EB21B2" w:rsidP="007A3B42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i/>
          <w:sz w:val="21"/>
          <w:szCs w:val="21"/>
        </w:rPr>
      </w:pPr>
      <w:r>
        <w:rPr>
          <w:rFonts w:asciiTheme="majorHAnsi" w:hAnsiTheme="majorHAnsi" w:cstheme="majorHAnsi"/>
          <w:i/>
          <w:sz w:val="21"/>
          <w:szCs w:val="21"/>
        </w:rPr>
        <w:t>Transport i mobilność miejska</w:t>
      </w:r>
    </w:p>
    <w:p w:rsidR="0053697E" w:rsidRPr="00044E0E" w:rsidRDefault="00B97867" w:rsidP="007A3B42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i/>
          <w:sz w:val="21"/>
          <w:szCs w:val="21"/>
        </w:rPr>
      </w:pPr>
      <w:r w:rsidRPr="00044E0E">
        <w:rPr>
          <w:rFonts w:asciiTheme="majorHAnsi" w:hAnsiTheme="majorHAnsi" w:cstheme="majorHAnsi"/>
          <w:i/>
          <w:sz w:val="21"/>
          <w:szCs w:val="21"/>
        </w:rPr>
        <w:t>Mieszkalnictwo społeczne</w:t>
      </w:r>
      <w:r w:rsidR="005A71C5" w:rsidRPr="00044E0E">
        <w:rPr>
          <w:rFonts w:asciiTheme="majorHAnsi" w:hAnsiTheme="majorHAnsi" w:cstheme="majorHAnsi"/>
          <w:i/>
          <w:sz w:val="21"/>
          <w:szCs w:val="21"/>
        </w:rPr>
        <w:t>.</w:t>
      </w:r>
    </w:p>
    <w:p w:rsidR="00B543BD" w:rsidRPr="00EB21B2" w:rsidRDefault="00B543BD" w:rsidP="00EB21B2">
      <w:pPr>
        <w:spacing w:before="80" w:after="80"/>
        <w:jc w:val="both"/>
        <w:rPr>
          <w:rFonts w:asciiTheme="majorHAnsi" w:hAnsiTheme="majorHAnsi" w:cstheme="majorHAnsi"/>
          <w:i/>
          <w:sz w:val="21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5"/>
        <w:gridCol w:w="4367"/>
      </w:tblGrid>
      <w:tr w:rsidR="00B543BD" w:rsidRPr="00044E0E" w:rsidTr="00B543BD">
        <w:tc>
          <w:tcPr>
            <w:tcW w:w="4786" w:type="dxa"/>
          </w:tcPr>
          <w:p w:rsidR="00B543BD" w:rsidRPr="00044E0E" w:rsidRDefault="00B543BD" w:rsidP="0053697E">
            <w:pPr>
              <w:spacing w:before="80" w:after="80"/>
              <w:ind w:left="-105"/>
              <w:jc w:val="both"/>
              <w:rPr>
                <w:rFonts w:asciiTheme="majorHAnsi" w:eastAsia="Times New Roman" w:hAnsiTheme="majorHAnsi" w:cstheme="majorHAnsi"/>
                <w:color w:val="333333"/>
                <w:sz w:val="21"/>
                <w:szCs w:val="21"/>
                <w:lang w:eastAsia="pl-PL"/>
              </w:rPr>
            </w:pPr>
            <w:r w:rsidRPr="00044E0E">
              <w:rPr>
                <w:rFonts w:asciiTheme="majorHAnsi" w:hAnsiTheme="majorHAnsi" w:cstheme="majorHAnsi"/>
                <w:b/>
                <w:color w:val="ED7D31"/>
                <w:sz w:val="21"/>
                <w:szCs w:val="21"/>
              </w:rPr>
              <w:t>KONTAKT:</w:t>
            </w:r>
          </w:p>
        </w:tc>
        <w:tc>
          <w:tcPr>
            <w:tcW w:w="4426" w:type="dxa"/>
          </w:tcPr>
          <w:p w:rsidR="00B543BD" w:rsidRPr="00044E0E" w:rsidRDefault="00B543BD" w:rsidP="0053697E">
            <w:pPr>
              <w:spacing w:before="80" w:after="80"/>
              <w:ind w:left="-105"/>
              <w:jc w:val="both"/>
              <w:rPr>
                <w:rFonts w:asciiTheme="majorHAnsi" w:hAnsiTheme="majorHAnsi" w:cstheme="majorHAnsi"/>
                <w:b/>
                <w:color w:val="ED7D31"/>
                <w:sz w:val="21"/>
                <w:szCs w:val="21"/>
              </w:rPr>
            </w:pPr>
          </w:p>
        </w:tc>
      </w:tr>
      <w:tr w:rsidR="00B543BD" w:rsidRPr="00044E0E" w:rsidTr="00B543BD">
        <w:trPr>
          <w:trHeight w:val="506"/>
        </w:trPr>
        <w:tc>
          <w:tcPr>
            <w:tcW w:w="4786" w:type="dxa"/>
          </w:tcPr>
          <w:p w:rsidR="00B543BD" w:rsidRPr="00044E0E" w:rsidRDefault="00B543BD" w:rsidP="0053697E">
            <w:pPr>
              <w:ind w:left="-105"/>
              <w:rPr>
                <w:rFonts w:asciiTheme="majorHAnsi" w:hAnsiTheme="majorHAnsi" w:cstheme="majorHAnsi"/>
                <w:sz w:val="21"/>
                <w:szCs w:val="21"/>
              </w:rPr>
            </w:pPr>
            <w:r w:rsidRPr="00044E0E">
              <w:rPr>
                <w:rFonts w:asciiTheme="majorHAnsi" w:hAnsiTheme="majorHAnsi" w:cstheme="majorHAnsi"/>
                <w:b/>
                <w:sz w:val="21"/>
                <w:szCs w:val="21"/>
              </w:rPr>
              <w:t>Karol Janas</w:t>
            </w:r>
            <w:r w:rsidRPr="00044E0E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</w:p>
          <w:p w:rsidR="00B543BD" w:rsidRPr="00044E0E" w:rsidRDefault="00B543BD" w:rsidP="0053697E">
            <w:pPr>
              <w:ind w:left="-105"/>
              <w:rPr>
                <w:rFonts w:asciiTheme="majorHAnsi" w:hAnsiTheme="majorHAnsi" w:cstheme="majorHAnsi"/>
                <w:sz w:val="21"/>
                <w:szCs w:val="21"/>
              </w:rPr>
            </w:pPr>
            <w:r w:rsidRPr="00044E0E">
              <w:rPr>
                <w:rFonts w:asciiTheme="majorHAnsi" w:hAnsiTheme="majorHAnsi" w:cstheme="majorHAnsi"/>
                <w:sz w:val="21"/>
                <w:szCs w:val="21"/>
              </w:rPr>
              <w:t xml:space="preserve">Kierownik Obserwatorium Polityki Miejskiej </w:t>
            </w:r>
          </w:p>
          <w:p w:rsidR="00B543BD" w:rsidRPr="00044E0E" w:rsidRDefault="00B543BD" w:rsidP="0053697E">
            <w:pPr>
              <w:ind w:left="-105"/>
              <w:rPr>
                <w:rFonts w:asciiTheme="majorHAnsi" w:hAnsiTheme="majorHAnsi" w:cstheme="majorHAnsi"/>
                <w:sz w:val="21"/>
                <w:szCs w:val="21"/>
              </w:rPr>
            </w:pPr>
            <w:r w:rsidRPr="00044E0E">
              <w:rPr>
                <w:rFonts w:asciiTheme="majorHAnsi" w:hAnsiTheme="majorHAnsi" w:cstheme="majorHAnsi"/>
                <w:sz w:val="21"/>
                <w:szCs w:val="21"/>
              </w:rPr>
              <w:t>Instytut Rozwoju Miast i Regionów</w:t>
            </w:r>
          </w:p>
          <w:p w:rsidR="00B543BD" w:rsidRPr="00044E0E" w:rsidRDefault="00B543BD" w:rsidP="0053697E">
            <w:pPr>
              <w:ind w:left="-105"/>
              <w:rPr>
                <w:rFonts w:asciiTheme="majorHAnsi" w:eastAsia="Times New Roman" w:hAnsiTheme="majorHAnsi" w:cstheme="majorHAnsi"/>
                <w:sz w:val="21"/>
                <w:szCs w:val="21"/>
                <w:lang w:eastAsia="pl-PL"/>
              </w:rPr>
            </w:pPr>
          </w:p>
        </w:tc>
        <w:tc>
          <w:tcPr>
            <w:tcW w:w="4426" w:type="dxa"/>
          </w:tcPr>
          <w:p w:rsidR="00B543BD" w:rsidRPr="00044E0E" w:rsidRDefault="00EB21B2" w:rsidP="00B543BD">
            <w:pPr>
              <w:ind w:left="-105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Wojciech Jarczewski</w:t>
            </w:r>
            <w:r w:rsidR="00B543BD" w:rsidRPr="00044E0E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</w:t>
            </w:r>
            <w:r w:rsidR="00B543BD" w:rsidRPr="00044E0E">
              <w:rPr>
                <w:rFonts w:asciiTheme="majorHAnsi" w:hAnsiTheme="majorHAnsi" w:cstheme="majorHAnsi"/>
                <w:b/>
                <w:sz w:val="21"/>
                <w:szCs w:val="21"/>
              </w:rPr>
              <w:br/>
            </w:r>
            <w:r w:rsidR="00B543BD" w:rsidRPr="00044E0E">
              <w:rPr>
                <w:rFonts w:asciiTheme="majorHAnsi" w:hAnsiTheme="majorHAnsi" w:cstheme="majorHAnsi"/>
                <w:sz w:val="21"/>
                <w:szCs w:val="21"/>
              </w:rPr>
              <w:t>Redaktor raportu</w:t>
            </w:r>
            <w:r w:rsidR="00B543BD" w:rsidRPr="00044E0E">
              <w:rPr>
                <w:rFonts w:asciiTheme="majorHAnsi" w:hAnsiTheme="majorHAnsi" w:cstheme="majorHAnsi"/>
                <w:b/>
                <w:sz w:val="21"/>
                <w:szCs w:val="21"/>
              </w:rPr>
              <w:br/>
            </w:r>
            <w:r>
              <w:rPr>
                <w:rFonts w:asciiTheme="majorHAnsi" w:hAnsiTheme="majorHAnsi" w:cstheme="majorHAnsi"/>
                <w:sz w:val="21"/>
                <w:szCs w:val="21"/>
              </w:rPr>
              <w:t>Dyrektor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br/>
            </w:r>
            <w:r w:rsidR="00B543BD" w:rsidRPr="00044E0E">
              <w:rPr>
                <w:rFonts w:asciiTheme="majorHAnsi" w:hAnsiTheme="majorHAnsi" w:cstheme="majorHAnsi"/>
                <w:sz w:val="21"/>
                <w:szCs w:val="21"/>
              </w:rPr>
              <w:t>Instytut Rozwoju Miast i Regionów</w:t>
            </w:r>
          </w:p>
          <w:p w:rsidR="00B543BD" w:rsidRPr="00044E0E" w:rsidRDefault="00B543BD" w:rsidP="0053697E">
            <w:pPr>
              <w:ind w:left="-105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</w:tr>
      <w:tr w:rsidR="00B543BD" w:rsidRPr="00044E0E" w:rsidTr="00B543BD">
        <w:trPr>
          <w:trHeight w:val="672"/>
        </w:trPr>
        <w:tc>
          <w:tcPr>
            <w:tcW w:w="4786" w:type="dxa"/>
          </w:tcPr>
          <w:p w:rsidR="00B543BD" w:rsidRPr="00044E0E" w:rsidRDefault="00B543BD" w:rsidP="0053697E">
            <w:pPr>
              <w:ind w:left="-105"/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044E0E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tel.: (+48) 12 634 29 53, </w:t>
            </w:r>
            <w:proofErr w:type="spellStart"/>
            <w:r w:rsidRPr="00044E0E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wew</w:t>
            </w:r>
            <w:proofErr w:type="spellEnd"/>
            <w:r w:rsidRPr="00044E0E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. 21 </w:t>
            </w:r>
          </w:p>
          <w:p w:rsidR="00B543BD" w:rsidRPr="00044E0E" w:rsidRDefault="00B543BD" w:rsidP="0053697E">
            <w:pPr>
              <w:ind w:left="-105"/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044E0E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e-mail: kjanas@irm.krakow.pl </w:t>
            </w:r>
          </w:p>
        </w:tc>
        <w:tc>
          <w:tcPr>
            <w:tcW w:w="4426" w:type="dxa"/>
          </w:tcPr>
          <w:p w:rsidR="00B543BD" w:rsidRPr="00044E0E" w:rsidRDefault="00B543BD" w:rsidP="00B543BD">
            <w:pPr>
              <w:ind w:left="-105"/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044E0E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tel.: (+48) 12 634 29 53, </w:t>
            </w:r>
            <w:proofErr w:type="spellStart"/>
            <w:r w:rsidRPr="00044E0E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wew</w:t>
            </w:r>
            <w:proofErr w:type="spellEnd"/>
            <w:r w:rsidRPr="00044E0E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. </w:t>
            </w:r>
            <w:r w:rsidR="00EB21B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16</w:t>
            </w:r>
            <w:r w:rsidRPr="00044E0E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 </w:t>
            </w:r>
          </w:p>
          <w:p w:rsidR="00B543BD" w:rsidRPr="00044E0E" w:rsidRDefault="00B543BD" w:rsidP="00873472">
            <w:pPr>
              <w:ind w:left="-105"/>
              <w:rPr>
                <w:rFonts w:asciiTheme="majorHAnsi" w:hAnsiTheme="majorHAnsi" w:cstheme="majorHAnsi"/>
                <w:sz w:val="21"/>
                <w:szCs w:val="21"/>
                <w:lang w:val="en-GB"/>
              </w:rPr>
            </w:pPr>
            <w:r w:rsidRPr="00044E0E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e-mail: </w:t>
            </w:r>
            <w:r w:rsidR="00EB21B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sekretariat</w:t>
            </w:r>
            <w:r w:rsidRPr="00044E0E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@irm.krakow.pl</w:t>
            </w:r>
          </w:p>
        </w:tc>
      </w:tr>
    </w:tbl>
    <w:p w:rsidR="0039467C" w:rsidRPr="009230C4" w:rsidRDefault="0039467C">
      <w:pPr>
        <w:rPr>
          <w:rFonts w:asciiTheme="majorHAnsi" w:hAnsiTheme="majorHAnsi" w:cstheme="majorHAnsi"/>
          <w:lang w:val="en-US"/>
        </w:rPr>
      </w:pPr>
    </w:p>
    <w:sectPr w:rsidR="0039467C" w:rsidRPr="009230C4" w:rsidSect="006B72B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C1B" w:rsidRDefault="002B3C1B" w:rsidP="001F303A">
      <w:pPr>
        <w:spacing w:after="0" w:line="240" w:lineRule="auto"/>
      </w:pPr>
      <w:r>
        <w:separator/>
      </w:r>
    </w:p>
  </w:endnote>
  <w:endnote w:type="continuationSeparator" w:id="0">
    <w:p w:rsidR="002B3C1B" w:rsidRDefault="002B3C1B" w:rsidP="001F3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Karmina-Regular">
    <w:altName w:val="Cambria"/>
    <w:panose1 w:val="00000000000000000000"/>
    <w:charset w:val="00"/>
    <w:family w:val="roman"/>
    <w:notTrueType/>
    <w:pitch w:val="default"/>
  </w:font>
  <w:font w:name="Karmina-Italic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C1B" w:rsidRDefault="002B3C1B" w:rsidP="001F303A">
      <w:pPr>
        <w:spacing w:after="0" w:line="240" w:lineRule="auto"/>
      </w:pPr>
      <w:r>
        <w:separator/>
      </w:r>
    </w:p>
  </w:footnote>
  <w:footnote w:type="continuationSeparator" w:id="0">
    <w:p w:rsidR="002B3C1B" w:rsidRDefault="002B3C1B" w:rsidP="001F3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3604E"/>
    <w:multiLevelType w:val="hybridMultilevel"/>
    <w:tmpl w:val="0616CB9A"/>
    <w:lvl w:ilvl="0" w:tplc="614AEBA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0D25FF"/>
    <w:multiLevelType w:val="hybridMultilevel"/>
    <w:tmpl w:val="BDC028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9A3899"/>
    <w:multiLevelType w:val="hybridMultilevel"/>
    <w:tmpl w:val="1C30D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75017"/>
    <w:multiLevelType w:val="multilevel"/>
    <w:tmpl w:val="9EE8C1A0"/>
    <w:lvl w:ilvl="0">
      <w:start w:val="1"/>
      <w:numFmt w:val="decimal"/>
      <w:pStyle w:val="Lista11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38642241"/>
    <w:multiLevelType w:val="hybridMultilevel"/>
    <w:tmpl w:val="6A8039F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B4C22ED"/>
    <w:multiLevelType w:val="hybridMultilevel"/>
    <w:tmpl w:val="9F8683EA"/>
    <w:lvl w:ilvl="0" w:tplc="4FDE5FE4">
      <w:start w:val="1"/>
      <w:numFmt w:val="bullet"/>
      <w:pStyle w:val="Lista-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EAA3642"/>
    <w:multiLevelType w:val="hybridMultilevel"/>
    <w:tmpl w:val="A3266F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707F39"/>
    <w:multiLevelType w:val="hybridMultilevel"/>
    <w:tmpl w:val="1660D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471BB"/>
    <w:multiLevelType w:val="hybridMultilevel"/>
    <w:tmpl w:val="AD006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963B9"/>
    <w:multiLevelType w:val="hybridMultilevel"/>
    <w:tmpl w:val="7D08FF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9148B5"/>
    <w:multiLevelType w:val="hybridMultilevel"/>
    <w:tmpl w:val="2CA41808"/>
    <w:lvl w:ilvl="0" w:tplc="2BD618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A132EAD"/>
    <w:multiLevelType w:val="hybridMultilevel"/>
    <w:tmpl w:val="14788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866E6"/>
    <w:multiLevelType w:val="hybridMultilevel"/>
    <w:tmpl w:val="CF80F244"/>
    <w:lvl w:ilvl="0" w:tplc="25CE9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825519"/>
    <w:multiLevelType w:val="hybridMultilevel"/>
    <w:tmpl w:val="ACBE9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2"/>
  </w:num>
  <w:num w:numId="5">
    <w:abstractNumId w:val="10"/>
  </w:num>
  <w:num w:numId="6">
    <w:abstractNumId w:val="1"/>
  </w:num>
  <w:num w:numId="7">
    <w:abstractNumId w:val="8"/>
  </w:num>
  <w:num w:numId="8">
    <w:abstractNumId w:val="0"/>
  </w:num>
  <w:num w:numId="9">
    <w:abstractNumId w:val="13"/>
  </w:num>
  <w:num w:numId="10">
    <w:abstractNumId w:val="6"/>
  </w:num>
  <w:num w:numId="11">
    <w:abstractNumId w:val="11"/>
  </w:num>
  <w:num w:numId="12">
    <w:abstractNumId w:val="9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67C"/>
    <w:rsid w:val="00004DA4"/>
    <w:rsid w:val="000070B9"/>
    <w:rsid w:val="00044E0E"/>
    <w:rsid w:val="000524C1"/>
    <w:rsid w:val="00057FAF"/>
    <w:rsid w:val="000D4B83"/>
    <w:rsid w:val="001131E1"/>
    <w:rsid w:val="00122079"/>
    <w:rsid w:val="00163B61"/>
    <w:rsid w:val="0017322F"/>
    <w:rsid w:val="00186B0D"/>
    <w:rsid w:val="00192B93"/>
    <w:rsid w:val="001F303A"/>
    <w:rsid w:val="001F55A8"/>
    <w:rsid w:val="00205FFD"/>
    <w:rsid w:val="00242E8E"/>
    <w:rsid w:val="00264B24"/>
    <w:rsid w:val="00294A51"/>
    <w:rsid w:val="002B3C1B"/>
    <w:rsid w:val="00335105"/>
    <w:rsid w:val="0038568F"/>
    <w:rsid w:val="0039467C"/>
    <w:rsid w:val="00396188"/>
    <w:rsid w:val="003A7098"/>
    <w:rsid w:val="004106E4"/>
    <w:rsid w:val="004133E3"/>
    <w:rsid w:val="00430AC6"/>
    <w:rsid w:val="004668E9"/>
    <w:rsid w:val="00476172"/>
    <w:rsid w:val="004828B4"/>
    <w:rsid w:val="004C11A4"/>
    <w:rsid w:val="004C411D"/>
    <w:rsid w:val="004C5B8C"/>
    <w:rsid w:val="004D0D00"/>
    <w:rsid w:val="004D6E4A"/>
    <w:rsid w:val="0053697E"/>
    <w:rsid w:val="00554021"/>
    <w:rsid w:val="00562598"/>
    <w:rsid w:val="005773BB"/>
    <w:rsid w:val="0059182D"/>
    <w:rsid w:val="005A71C5"/>
    <w:rsid w:val="005D3208"/>
    <w:rsid w:val="00636E51"/>
    <w:rsid w:val="00691080"/>
    <w:rsid w:val="006971F0"/>
    <w:rsid w:val="006B72B7"/>
    <w:rsid w:val="00762BE4"/>
    <w:rsid w:val="007A3B42"/>
    <w:rsid w:val="007D61B3"/>
    <w:rsid w:val="00804FBF"/>
    <w:rsid w:val="0081184D"/>
    <w:rsid w:val="00837151"/>
    <w:rsid w:val="00843880"/>
    <w:rsid w:val="00857FCD"/>
    <w:rsid w:val="008612BD"/>
    <w:rsid w:val="00872072"/>
    <w:rsid w:val="008723F8"/>
    <w:rsid w:val="00873472"/>
    <w:rsid w:val="0087584D"/>
    <w:rsid w:val="008A4F46"/>
    <w:rsid w:val="008D14CD"/>
    <w:rsid w:val="008D4633"/>
    <w:rsid w:val="008D7216"/>
    <w:rsid w:val="008F3B54"/>
    <w:rsid w:val="008F585A"/>
    <w:rsid w:val="009230C4"/>
    <w:rsid w:val="00954BF9"/>
    <w:rsid w:val="00994AEA"/>
    <w:rsid w:val="009B3165"/>
    <w:rsid w:val="009B5AAF"/>
    <w:rsid w:val="009C15D8"/>
    <w:rsid w:val="00A0510A"/>
    <w:rsid w:val="00A30749"/>
    <w:rsid w:val="00A41917"/>
    <w:rsid w:val="00AD2CC8"/>
    <w:rsid w:val="00B1113E"/>
    <w:rsid w:val="00B42ACC"/>
    <w:rsid w:val="00B543BD"/>
    <w:rsid w:val="00B6007B"/>
    <w:rsid w:val="00B60DB1"/>
    <w:rsid w:val="00B75787"/>
    <w:rsid w:val="00B779A4"/>
    <w:rsid w:val="00B97867"/>
    <w:rsid w:val="00BB516F"/>
    <w:rsid w:val="00BB6091"/>
    <w:rsid w:val="00BD644D"/>
    <w:rsid w:val="00C27881"/>
    <w:rsid w:val="00CE66E2"/>
    <w:rsid w:val="00D1122D"/>
    <w:rsid w:val="00D61BF4"/>
    <w:rsid w:val="00D673A6"/>
    <w:rsid w:val="00D71292"/>
    <w:rsid w:val="00D9203A"/>
    <w:rsid w:val="00DA073E"/>
    <w:rsid w:val="00DE2130"/>
    <w:rsid w:val="00DF1571"/>
    <w:rsid w:val="00DF30E6"/>
    <w:rsid w:val="00E65600"/>
    <w:rsid w:val="00E720C2"/>
    <w:rsid w:val="00E926AF"/>
    <w:rsid w:val="00E929F5"/>
    <w:rsid w:val="00EB21B2"/>
    <w:rsid w:val="00EB382E"/>
    <w:rsid w:val="00ED0337"/>
    <w:rsid w:val="00F122FA"/>
    <w:rsid w:val="00F15984"/>
    <w:rsid w:val="00F2525A"/>
    <w:rsid w:val="00F256DC"/>
    <w:rsid w:val="00F3177C"/>
    <w:rsid w:val="00F32F3B"/>
    <w:rsid w:val="00F550CD"/>
    <w:rsid w:val="00F8173A"/>
    <w:rsid w:val="00FB01CA"/>
    <w:rsid w:val="00FF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CA5C3"/>
  <w15:docId w15:val="{9A29226A-2ED5-4DA1-A9B7-D4612A321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4633"/>
  </w:style>
  <w:style w:type="paragraph" w:styleId="Nagwek2">
    <w:name w:val="heading 2"/>
    <w:basedOn w:val="Normalny"/>
    <w:link w:val="Nagwek2Znak"/>
    <w:uiPriority w:val="9"/>
    <w:qFormat/>
    <w:rsid w:val="00F252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ierwszyakapit">
    <w:name w:val="Pierwszy akapit"/>
    <w:basedOn w:val="Normalny"/>
    <w:next w:val="Normalny"/>
    <w:autoRedefine/>
    <w:rsid w:val="001F55A8"/>
    <w:pPr>
      <w:spacing w:after="0" w:line="276" w:lineRule="auto"/>
      <w:ind w:right="-79"/>
      <w:contextualSpacing/>
      <w:jc w:val="both"/>
    </w:pPr>
    <w:rPr>
      <w:rFonts w:asciiTheme="majorHAnsi" w:eastAsiaTheme="minorEastAsia" w:hAnsiTheme="majorHAnsi" w:cstheme="majorHAnsi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46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9467C"/>
    <w:pPr>
      <w:spacing w:line="240" w:lineRule="auto"/>
    </w:pPr>
    <w:rPr>
      <w:color w:val="1A1A18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9467C"/>
    <w:rPr>
      <w:color w:val="1A1A18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67C"/>
    <w:rPr>
      <w:rFonts w:ascii="Segoe UI" w:hAnsi="Segoe UI" w:cs="Segoe UI"/>
      <w:sz w:val="18"/>
      <w:szCs w:val="18"/>
    </w:rPr>
  </w:style>
  <w:style w:type="character" w:customStyle="1" w:styleId="Kursywa">
    <w:name w:val="Kursywa"/>
    <w:basedOn w:val="Domylnaczcionkaakapitu"/>
    <w:uiPriority w:val="1"/>
    <w:qFormat/>
    <w:rsid w:val="0039467C"/>
    <w:rPr>
      <w:i/>
      <w:color w:val="FF0000"/>
    </w:rPr>
  </w:style>
  <w:style w:type="paragraph" w:customStyle="1" w:styleId="Tyt4">
    <w:name w:val="Tyt_4"/>
    <w:qFormat/>
    <w:rsid w:val="0039467C"/>
    <w:pPr>
      <w:spacing w:before="240" w:after="0" w:line="360" w:lineRule="auto"/>
    </w:pPr>
    <w:rPr>
      <w:color w:val="BF8F00" w:themeColor="accent4" w:themeShade="BF"/>
      <w:sz w:val="24"/>
    </w:rPr>
  </w:style>
  <w:style w:type="paragraph" w:customStyle="1" w:styleId="Wnioski">
    <w:name w:val="Wnioski"/>
    <w:basedOn w:val="Normalny"/>
    <w:qFormat/>
    <w:rsid w:val="004106E4"/>
    <w:pPr>
      <w:spacing w:after="360" w:line="240" w:lineRule="auto"/>
      <w:contextualSpacing/>
    </w:pPr>
    <w:rPr>
      <w:b/>
      <w:color w:val="ED7D31" w:themeColor="accent2"/>
      <w:sz w:val="24"/>
    </w:rPr>
  </w:style>
  <w:style w:type="paragraph" w:styleId="Akapitzlist">
    <w:name w:val="List Paragraph"/>
    <w:basedOn w:val="Normalny"/>
    <w:uiPriority w:val="34"/>
    <w:qFormat/>
    <w:rsid w:val="004106E4"/>
    <w:pPr>
      <w:ind w:left="720"/>
      <w:contextualSpacing/>
    </w:pPr>
  </w:style>
  <w:style w:type="paragraph" w:customStyle="1" w:styleId="Tekstgwny">
    <w:name w:val="Tekst główny"/>
    <w:basedOn w:val="Normalny"/>
    <w:autoRedefine/>
    <w:qFormat/>
    <w:rsid w:val="00335105"/>
    <w:pPr>
      <w:spacing w:after="0" w:line="276" w:lineRule="auto"/>
      <w:contextualSpacing/>
      <w:jc w:val="both"/>
    </w:pPr>
    <w:rPr>
      <w:rFonts w:ascii="Times New Roman" w:eastAsiaTheme="minorEastAsia" w:hAnsi="Times New Roman" w:cs="Times New Roman"/>
      <w:b/>
      <w:color w:val="171717" w:themeColor="background2" w:themeShade="1A"/>
      <w:sz w:val="24"/>
      <w:szCs w:val="24"/>
    </w:rPr>
  </w:style>
  <w:style w:type="paragraph" w:customStyle="1" w:styleId="Lista-">
    <w:name w:val="Lista (-)"/>
    <w:basedOn w:val="Akapitzlist"/>
    <w:qFormat/>
    <w:rsid w:val="001F55A8"/>
    <w:pPr>
      <w:numPr>
        <w:numId w:val="2"/>
      </w:numPr>
      <w:spacing w:after="0" w:line="360" w:lineRule="auto"/>
      <w:jc w:val="both"/>
    </w:pPr>
    <w:rPr>
      <w:rFonts w:ascii="Times New Roman" w:eastAsiaTheme="minorEastAsia" w:hAnsi="Times New Roman" w:cs="Times New Roman"/>
      <w:color w:val="0D0D0D" w:themeColor="text1" w:themeTint="F2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D61BF4"/>
    <w:pPr>
      <w:tabs>
        <w:tab w:val="right" w:leader="dot" w:pos="9061"/>
      </w:tabs>
      <w:spacing w:after="100" w:line="276" w:lineRule="auto"/>
      <w:ind w:left="440"/>
      <w:jc w:val="both"/>
    </w:pPr>
    <w:rPr>
      <w:rFonts w:ascii="Karmina-Regular" w:hAnsi="Karmina-Regular"/>
      <w:color w:val="1A1A18"/>
    </w:rPr>
  </w:style>
  <w:style w:type="paragraph" w:styleId="Spistreci4">
    <w:name w:val="toc 4"/>
    <w:basedOn w:val="Normalny"/>
    <w:next w:val="Normalny"/>
    <w:autoRedefine/>
    <w:uiPriority w:val="39"/>
    <w:unhideWhenUsed/>
    <w:rsid w:val="00D61BF4"/>
    <w:pPr>
      <w:spacing w:after="100"/>
      <w:ind w:left="660"/>
    </w:pPr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9230C4"/>
    <w:rPr>
      <w:b/>
      <w:bCs/>
    </w:rPr>
  </w:style>
  <w:style w:type="table" w:styleId="Tabela-Siatka">
    <w:name w:val="Table Grid"/>
    <w:basedOn w:val="Standardowy"/>
    <w:uiPriority w:val="59"/>
    <w:rsid w:val="0092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F2525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2525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fontstyle01">
    <w:name w:val="fontstyle01"/>
    <w:basedOn w:val="Domylnaczcionkaakapitu"/>
    <w:rsid w:val="006971F0"/>
    <w:rPr>
      <w:rFonts w:ascii="Karmina-Regular" w:hAnsi="Karmina-Regular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Domylnaczcionkaakapitu"/>
    <w:rsid w:val="009B3165"/>
    <w:rPr>
      <w:rFonts w:ascii="Karmina-Italic" w:hAnsi="Karmina-Italic" w:hint="default"/>
      <w:b w:val="0"/>
      <w:bCs w:val="0"/>
      <w:i/>
      <w:iCs/>
      <w:color w:val="1A1A18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20C2"/>
    <w:rPr>
      <w:b/>
      <w:bCs/>
      <w:color w:val="auto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20C2"/>
    <w:rPr>
      <w:b/>
      <w:bCs/>
      <w:color w:val="1A1A18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F3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03A"/>
  </w:style>
  <w:style w:type="paragraph" w:styleId="Stopka">
    <w:name w:val="footer"/>
    <w:basedOn w:val="Normalny"/>
    <w:link w:val="StopkaZnak"/>
    <w:uiPriority w:val="99"/>
    <w:unhideWhenUsed/>
    <w:rsid w:val="001F3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03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30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303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303A"/>
    <w:rPr>
      <w:vertAlign w:val="superscript"/>
    </w:rPr>
  </w:style>
  <w:style w:type="character" w:customStyle="1" w:styleId="fontstyle31">
    <w:name w:val="fontstyle31"/>
    <w:basedOn w:val="Domylnaczcionkaakapitu"/>
    <w:rsid w:val="005773BB"/>
    <w:rPr>
      <w:rFonts w:ascii="Karmina-Italic" w:hAnsi="Karmina-Italic" w:hint="default"/>
      <w:b w:val="0"/>
      <w:bCs w:val="0"/>
      <w:i/>
      <w:iCs/>
      <w:color w:val="1A1A18"/>
      <w:sz w:val="22"/>
      <w:szCs w:val="22"/>
    </w:rPr>
  </w:style>
  <w:style w:type="paragraph" w:customStyle="1" w:styleId="Tekstgwnybezwcicia">
    <w:name w:val="Tekst główny_bez wcięcia"/>
    <w:basedOn w:val="Tekstgwny"/>
    <w:autoRedefine/>
    <w:qFormat/>
    <w:rsid w:val="00B1113E"/>
    <w:pPr>
      <w:tabs>
        <w:tab w:val="left" w:pos="2268"/>
      </w:tabs>
      <w:spacing w:line="360" w:lineRule="auto"/>
      <w:contextualSpacing w:val="0"/>
    </w:pPr>
    <w:rPr>
      <w:b w:val="0"/>
      <w:color w:val="5B9BD5" w:themeColor="accent5"/>
    </w:rPr>
  </w:style>
  <w:style w:type="paragraph" w:styleId="NormalnyWeb">
    <w:name w:val="Normal (Web)"/>
    <w:basedOn w:val="Normalny"/>
    <w:uiPriority w:val="99"/>
    <w:unhideWhenUsed/>
    <w:rsid w:val="00B11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grubienie1">
    <w:name w:val="Pogrubienie1"/>
    <w:basedOn w:val="Domylnaczcionkaakapitu"/>
    <w:uiPriority w:val="1"/>
    <w:qFormat/>
    <w:rsid w:val="00CE66E2"/>
    <w:rPr>
      <w:rFonts w:ascii="Times New Roman" w:hAnsi="Times New Roman"/>
      <w:b/>
      <w:color w:val="70AD47" w:themeColor="accent6"/>
    </w:rPr>
  </w:style>
  <w:style w:type="paragraph" w:customStyle="1" w:styleId="Lista11">
    <w:name w:val="Lista 1.1"/>
    <w:basedOn w:val="Normalny"/>
    <w:qFormat/>
    <w:rsid w:val="00CE66E2"/>
    <w:pPr>
      <w:numPr>
        <w:numId w:val="13"/>
      </w:numPr>
      <w:spacing w:after="0" w:line="360" w:lineRule="auto"/>
      <w:jc w:val="both"/>
    </w:pPr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0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F1066-DB10-4753-87EE-708D7F0AB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1566</Words>
  <Characters>9401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Salata</dc:creator>
  <cp:lastModifiedBy>Piotr Salata</cp:lastModifiedBy>
  <cp:revision>2</cp:revision>
  <dcterms:created xsi:type="dcterms:W3CDTF">2019-05-30T11:26:00Z</dcterms:created>
  <dcterms:modified xsi:type="dcterms:W3CDTF">2019-05-30T11:26:00Z</dcterms:modified>
</cp:coreProperties>
</file>