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C4" w:rsidRPr="003111A5" w:rsidRDefault="009230C4" w:rsidP="003111A5">
      <w:pPr>
        <w:spacing w:after="0" w:line="240" w:lineRule="auto"/>
        <w:jc w:val="center"/>
        <w:rPr>
          <w:rFonts w:asciiTheme="majorHAnsi" w:eastAsia="Times New Roman" w:hAnsiTheme="majorHAnsi" w:cstheme="majorHAnsi"/>
          <w:color w:val="ED7D31"/>
          <w:kern w:val="36"/>
          <w:sz w:val="24"/>
          <w:szCs w:val="24"/>
          <w:lang w:eastAsia="pl-PL"/>
        </w:rPr>
      </w:pPr>
      <w:r w:rsidRPr="00292209">
        <w:rPr>
          <w:rFonts w:asciiTheme="majorHAnsi" w:hAnsiTheme="majorHAnsi" w:cstheme="majorHAnsi"/>
          <w:color w:val="ED7D31"/>
          <w:sz w:val="23"/>
          <w:szCs w:val="23"/>
          <w:shd w:val="clear" w:color="auto" w:fill="FFFFFF"/>
        </w:rPr>
        <w:t>ZARZĄDZANIE I WSPÓŁPRACA W MIEJSKICH OBSZARACH FUNKCJONALNYCH</w:t>
      </w:r>
      <w:r w:rsidR="003111A5" w:rsidRPr="00292209">
        <w:rPr>
          <w:rFonts w:asciiTheme="majorHAnsi" w:hAnsiTheme="majorHAnsi" w:cstheme="majorHAnsi"/>
          <w:color w:val="ED7D31"/>
          <w:sz w:val="23"/>
          <w:szCs w:val="23"/>
          <w:shd w:val="clear" w:color="auto" w:fill="FFFFFF"/>
        </w:rPr>
        <w:t>.</w:t>
      </w:r>
      <w:r w:rsidR="003111A5" w:rsidRPr="00292209">
        <w:rPr>
          <w:rFonts w:asciiTheme="majorHAnsi" w:hAnsiTheme="majorHAnsi" w:cstheme="majorHAnsi"/>
          <w:color w:val="ED7D31"/>
          <w:sz w:val="23"/>
          <w:szCs w:val="23"/>
          <w:shd w:val="clear" w:color="auto" w:fill="FFFFFF"/>
        </w:rPr>
        <w:br/>
      </w:r>
      <w:r w:rsidR="003111A5" w:rsidRPr="00292209">
        <w:rPr>
          <w:rFonts w:asciiTheme="majorHAnsi" w:eastAsia="Times New Roman" w:hAnsiTheme="majorHAnsi" w:cstheme="majorHAnsi"/>
          <w:color w:val="ED7D31"/>
          <w:kern w:val="36"/>
          <w:sz w:val="23"/>
          <w:szCs w:val="23"/>
          <w:lang w:eastAsia="pl-PL"/>
        </w:rPr>
        <w:t>RAPORT O STANIE POLSKICH MIAST</w:t>
      </w:r>
      <w:r w:rsidRPr="009230C4">
        <w:rPr>
          <w:rFonts w:asciiTheme="majorHAnsi" w:hAnsiTheme="majorHAnsi" w:cstheme="majorHAnsi"/>
          <w:color w:val="ED7D31" w:themeColor="accent2"/>
          <w:vertAlign w:val="superscript"/>
        </w:rPr>
        <w:br/>
        <w:t>_____________________________________________________________________________________________________________________</w:t>
      </w:r>
    </w:p>
    <w:p w:rsidR="0039467C" w:rsidRPr="0060707E" w:rsidRDefault="0039467C" w:rsidP="00DA073E">
      <w:pPr>
        <w:pStyle w:val="Pierwszyakapit"/>
        <w:spacing w:after="160"/>
        <w:rPr>
          <w:rFonts w:asciiTheme="minorHAnsi" w:hAnsiTheme="minorHAnsi" w:cstheme="minorHAnsi"/>
          <w:sz w:val="23"/>
          <w:szCs w:val="23"/>
        </w:rPr>
      </w:pPr>
      <w:r w:rsidRPr="0060707E">
        <w:rPr>
          <w:rFonts w:asciiTheme="minorHAnsi" w:hAnsiTheme="minorHAnsi" w:cstheme="minorHAnsi"/>
          <w:sz w:val="23"/>
          <w:szCs w:val="23"/>
        </w:rPr>
        <w:t>Właściwe zarządzanie obszarami funkcjonalnymi dużych aglomeracji miejskich należy do największych i najtrudniejszych wyzwań, jakie stoją przed polską administracją publiczną. Jak sobie z tym radzą samorządy? Najnowszy raport Obserwatorium Polityki Miejskiej IRM został poświęcony właśnie temu zagadnieniu.</w:t>
      </w:r>
    </w:p>
    <w:p w:rsidR="001131E1" w:rsidRPr="00E63C2C" w:rsidRDefault="00335105" w:rsidP="00DA073E">
      <w:pPr>
        <w:jc w:val="both"/>
        <w:rPr>
          <w:rFonts w:cstheme="minorHAnsi"/>
          <w:sz w:val="23"/>
          <w:szCs w:val="23"/>
        </w:rPr>
      </w:pPr>
      <w:r w:rsidRPr="00E63C2C">
        <w:rPr>
          <w:rFonts w:cstheme="minorHAnsi"/>
          <w:sz w:val="23"/>
          <w:szCs w:val="23"/>
        </w:rPr>
        <w:t xml:space="preserve">Zarządzanie obszarami miejskimi zostało wydzielone jako jeden z głównych wątków tematycznych w </w:t>
      </w:r>
      <w:r w:rsidR="00F122FA" w:rsidRPr="00E63C2C">
        <w:rPr>
          <w:rFonts w:cstheme="minorHAnsi"/>
          <w:sz w:val="23"/>
          <w:szCs w:val="23"/>
        </w:rPr>
        <w:t xml:space="preserve">przyjętej w 2015 roku </w:t>
      </w:r>
      <w:r w:rsidRPr="00E63C2C">
        <w:rPr>
          <w:rFonts w:cstheme="minorHAnsi"/>
          <w:sz w:val="23"/>
          <w:szCs w:val="23"/>
        </w:rPr>
        <w:t xml:space="preserve">Krajowej Polityce Miejskiej. Stąd też pomysł na opracowanie raportu, którego zadaniem z jednej strony jest diagnoza stanu współpracy międzysamorządowej, </w:t>
      </w:r>
      <w:r w:rsidR="00476172" w:rsidRPr="00E63C2C">
        <w:rPr>
          <w:rFonts w:cstheme="minorHAnsi"/>
          <w:sz w:val="23"/>
          <w:szCs w:val="23"/>
        </w:rPr>
        <w:t xml:space="preserve">a z drugiej opracowanie rekomendacji na podstawie przeprowadzonych badań. </w:t>
      </w:r>
      <w:r w:rsidR="001131E1" w:rsidRPr="00E63C2C">
        <w:rPr>
          <w:rFonts w:cstheme="minorHAnsi"/>
          <w:sz w:val="23"/>
          <w:szCs w:val="23"/>
        </w:rPr>
        <w:t xml:space="preserve">Podzielone zostały </w:t>
      </w:r>
      <w:r w:rsidR="004668E9" w:rsidRPr="00E63C2C">
        <w:rPr>
          <w:rFonts w:cstheme="minorHAnsi"/>
          <w:sz w:val="23"/>
          <w:szCs w:val="23"/>
        </w:rPr>
        <w:t xml:space="preserve">one </w:t>
      </w:r>
      <w:r w:rsidR="001131E1" w:rsidRPr="00E63C2C">
        <w:rPr>
          <w:rFonts w:cstheme="minorHAnsi"/>
          <w:sz w:val="23"/>
          <w:szCs w:val="23"/>
        </w:rPr>
        <w:t>według trzech grup, do których są skierowane: samorządów, rządu, oraz ekspertów i naukowców.</w:t>
      </w:r>
    </w:p>
    <w:p w:rsidR="00476172" w:rsidRPr="00E63C2C" w:rsidRDefault="00476172" w:rsidP="00DA073E">
      <w:pPr>
        <w:jc w:val="both"/>
        <w:rPr>
          <w:rFonts w:cstheme="minorHAnsi"/>
          <w:b/>
          <w:sz w:val="23"/>
          <w:szCs w:val="23"/>
        </w:rPr>
      </w:pPr>
      <w:r w:rsidRPr="00E63C2C">
        <w:rPr>
          <w:rFonts w:cstheme="minorHAnsi"/>
          <w:b/>
          <w:sz w:val="23"/>
          <w:szCs w:val="23"/>
        </w:rPr>
        <w:t>Zakres raportu</w:t>
      </w:r>
    </w:p>
    <w:p w:rsidR="005C6948" w:rsidRPr="00E63C2C" w:rsidRDefault="00476172" w:rsidP="009C72F0">
      <w:pPr>
        <w:jc w:val="both"/>
        <w:rPr>
          <w:rFonts w:cstheme="minorHAnsi"/>
          <w:sz w:val="23"/>
          <w:szCs w:val="23"/>
        </w:rPr>
      </w:pPr>
      <w:r w:rsidRPr="00E63C2C">
        <w:rPr>
          <w:rFonts w:cstheme="minorHAnsi"/>
          <w:sz w:val="23"/>
          <w:szCs w:val="23"/>
        </w:rPr>
        <w:t xml:space="preserve">Publikacja składa się z dwóch powiązanych części. Pierwsza ma charakter monitoringowy i będzie cyklicznie powtarzana co 3 lata. </w:t>
      </w:r>
      <w:r w:rsidR="00D61BF4" w:rsidRPr="00E63C2C">
        <w:rPr>
          <w:rFonts w:cstheme="minorHAnsi"/>
          <w:sz w:val="23"/>
          <w:szCs w:val="23"/>
        </w:rPr>
        <w:t>W ramach niej zbadano poziom współpracy w Miejskich Ośrodkach Funkcjonalnych</w:t>
      </w:r>
      <w:r w:rsidR="004668E9" w:rsidRPr="00E63C2C">
        <w:rPr>
          <w:rFonts w:cstheme="minorHAnsi"/>
          <w:sz w:val="23"/>
          <w:szCs w:val="23"/>
        </w:rPr>
        <w:t xml:space="preserve"> (MOF)</w:t>
      </w:r>
      <w:r w:rsidR="00D61BF4" w:rsidRPr="00E63C2C">
        <w:rPr>
          <w:rFonts w:cstheme="minorHAnsi"/>
          <w:sz w:val="23"/>
          <w:szCs w:val="23"/>
        </w:rPr>
        <w:t xml:space="preserve"> oraz przyjrzano się dostępności i integracji transportu publicznego. Pod lupą znalazły się również Zintegrowane Inwestycje Terytorialne</w:t>
      </w:r>
      <w:r w:rsidR="00894110" w:rsidRPr="00E63C2C">
        <w:rPr>
          <w:rFonts w:cstheme="minorHAnsi"/>
          <w:sz w:val="23"/>
          <w:szCs w:val="23"/>
        </w:rPr>
        <w:t xml:space="preserve"> (ZIT)</w:t>
      </w:r>
      <w:r w:rsidR="00762BE4" w:rsidRPr="00E63C2C">
        <w:rPr>
          <w:rFonts w:cstheme="minorHAnsi"/>
          <w:sz w:val="23"/>
          <w:szCs w:val="23"/>
        </w:rPr>
        <w:t xml:space="preserve">. </w:t>
      </w:r>
      <w:r w:rsidR="001131E1" w:rsidRPr="00E63C2C">
        <w:rPr>
          <w:rFonts w:cstheme="minorHAnsi"/>
          <w:sz w:val="23"/>
          <w:szCs w:val="23"/>
        </w:rPr>
        <w:t>Dr</w:t>
      </w:r>
      <w:r w:rsidR="00E707D0" w:rsidRPr="00E63C2C">
        <w:rPr>
          <w:rFonts w:cstheme="minorHAnsi"/>
          <w:sz w:val="23"/>
          <w:szCs w:val="23"/>
        </w:rPr>
        <w:t xml:space="preserve">uga cześć raportu zatytułowana </w:t>
      </w:r>
      <w:r w:rsidR="00E707D0" w:rsidRPr="00E63C2C">
        <w:rPr>
          <w:rFonts w:cstheme="minorHAnsi"/>
          <w:i/>
          <w:sz w:val="23"/>
          <w:szCs w:val="23"/>
        </w:rPr>
        <w:t>spojrzenie w głąb</w:t>
      </w:r>
      <w:r w:rsidR="001131E1" w:rsidRPr="00E63C2C">
        <w:rPr>
          <w:rFonts w:cstheme="minorHAnsi"/>
          <w:sz w:val="23"/>
          <w:szCs w:val="23"/>
        </w:rPr>
        <w:t xml:space="preserve"> porusza kwestie uwarunkowań współpracy międzysamorządowej w MOF-ach, w tym  mechanizmów sprzyjających jej rozwojowi oraz barier utrudniających współdziałanie.</w:t>
      </w:r>
    </w:p>
    <w:p w:rsidR="003B3ED5" w:rsidRPr="00E63C2C" w:rsidRDefault="00FC19A2" w:rsidP="00DA073E">
      <w:pPr>
        <w:jc w:val="both"/>
        <w:rPr>
          <w:rFonts w:cstheme="minorHAnsi"/>
          <w:b/>
          <w:sz w:val="23"/>
          <w:szCs w:val="23"/>
        </w:rPr>
      </w:pPr>
      <w:r>
        <w:rPr>
          <w:rFonts w:cstheme="minorHAnsi"/>
          <w:b/>
          <w:sz w:val="23"/>
          <w:szCs w:val="23"/>
        </w:rPr>
        <w:t>Najważniejsze</w:t>
      </w:r>
      <w:bookmarkStart w:id="0" w:name="_GoBack"/>
      <w:bookmarkEnd w:id="0"/>
      <w:r w:rsidR="003B3ED5" w:rsidRPr="00E63C2C">
        <w:rPr>
          <w:rFonts w:cstheme="minorHAnsi"/>
          <w:b/>
          <w:sz w:val="23"/>
          <w:szCs w:val="23"/>
        </w:rPr>
        <w:t xml:space="preserve"> wnioski </w:t>
      </w:r>
      <w:r w:rsidR="005179EF" w:rsidRPr="00E63C2C">
        <w:rPr>
          <w:rFonts w:cstheme="minorHAnsi"/>
          <w:b/>
          <w:sz w:val="23"/>
          <w:szCs w:val="23"/>
        </w:rPr>
        <w:t xml:space="preserve">z raportu </w:t>
      </w:r>
      <w:r w:rsidR="00821586" w:rsidRPr="00E63C2C">
        <w:rPr>
          <w:rFonts w:cstheme="minorHAnsi"/>
          <w:b/>
          <w:sz w:val="23"/>
          <w:szCs w:val="23"/>
        </w:rPr>
        <w:t>dotyczące</w:t>
      </w:r>
      <w:r w:rsidR="003B3ED5" w:rsidRPr="00E63C2C">
        <w:rPr>
          <w:rFonts w:cstheme="minorHAnsi"/>
          <w:b/>
          <w:sz w:val="23"/>
          <w:szCs w:val="23"/>
        </w:rPr>
        <w:t xml:space="preserve"> </w:t>
      </w:r>
      <w:r w:rsidR="002E4779" w:rsidRPr="00E63C2C">
        <w:rPr>
          <w:rFonts w:cstheme="minorHAnsi"/>
          <w:b/>
          <w:sz w:val="23"/>
          <w:szCs w:val="23"/>
        </w:rPr>
        <w:t xml:space="preserve">MOF-u </w:t>
      </w:r>
      <w:r w:rsidR="00C53EC1" w:rsidRPr="00E63C2C">
        <w:rPr>
          <w:rFonts w:cstheme="minorHAnsi"/>
          <w:b/>
          <w:sz w:val="23"/>
          <w:szCs w:val="23"/>
        </w:rPr>
        <w:t>Trójmiasta</w:t>
      </w:r>
    </w:p>
    <w:p w:rsidR="00465973" w:rsidRPr="00E63C2C" w:rsidRDefault="00B047B3" w:rsidP="00465973">
      <w:pPr>
        <w:pStyle w:val="Akapitzlist"/>
        <w:numPr>
          <w:ilvl w:val="0"/>
          <w:numId w:val="4"/>
        </w:numPr>
        <w:rPr>
          <w:rFonts w:cstheme="minorHAnsi"/>
          <w:b/>
          <w:color w:val="ED7D31" w:themeColor="accent2"/>
          <w:sz w:val="23"/>
          <w:szCs w:val="23"/>
        </w:rPr>
      </w:pPr>
      <w:r>
        <w:rPr>
          <w:rFonts w:cstheme="minorHAnsi"/>
          <w:b/>
          <w:color w:val="ED7D31" w:themeColor="accent2"/>
          <w:sz w:val="23"/>
          <w:szCs w:val="23"/>
        </w:rPr>
        <w:t>Współpraca na wysokim poziomie</w:t>
      </w:r>
    </w:p>
    <w:p w:rsidR="009C72F0" w:rsidRPr="00E63C2C" w:rsidRDefault="00465973" w:rsidP="009C72F0">
      <w:pPr>
        <w:pStyle w:val="Akapitzlist"/>
        <w:jc w:val="both"/>
        <w:rPr>
          <w:rFonts w:cstheme="minorHAnsi"/>
          <w:sz w:val="23"/>
          <w:szCs w:val="23"/>
        </w:rPr>
      </w:pPr>
      <w:r w:rsidRPr="00E63C2C">
        <w:rPr>
          <w:rFonts w:cstheme="minorHAnsi"/>
          <w:sz w:val="23"/>
          <w:szCs w:val="23"/>
        </w:rPr>
        <w:t xml:space="preserve">Debata o potrzebie współpracy w trójmiejskim obszarze metropolitalnym należy niewątpliwie do jednych z najżywszych – dyskusje są nie tylko prowadzone w wąskich gronach ekspertów i decydentów, ale także budzą duże zainteresowanie i emocje opinii publicznej. Efektywność współpracy i trudności w jej sformalizowaniu „od zawsze” związane były z konkurencją dwóch największych miast – Gdańska i Gdyni. </w:t>
      </w:r>
    </w:p>
    <w:p w:rsidR="00465973" w:rsidRPr="00E63C2C" w:rsidRDefault="00465973" w:rsidP="009C72F0">
      <w:pPr>
        <w:pStyle w:val="Akapitzlist"/>
        <w:jc w:val="both"/>
        <w:rPr>
          <w:rFonts w:cstheme="minorHAnsi"/>
          <w:sz w:val="23"/>
          <w:szCs w:val="23"/>
        </w:rPr>
      </w:pPr>
      <w:r w:rsidRPr="00E63C2C">
        <w:rPr>
          <w:rFonts w:cstheme="minorHAnsi"/>
          <w:sz w:val="23"/>
          <w:szCs w:val="23"/>
        </w:rPr>
        <w:t xml:space="preserve">Owa konkurencja znalazła wyraz również w powołaniu dwóch odrębnych struktur współpracy metropolitalnej: Stowarzyszenia Gdański Obszar Metropolitalny powołanego z inicjatywy prezydenta Gdańska oraz Metropolitalnego Forum Wójtów, Burmistrzów </w:t>
      </w:r>
      <w:r w:rsidR="009C72F0" w:rsidRPr="00E63C2C">
        <w:rPr>
          <w:rFonts w:cstheme="minorHAnsi"/>
          <w:sz w:val="23"/>
          <w:szCs w:val="23"/>
        </w:rPr>
        <w:br/>
      </w:r>
      <w:r w:rsidRPr="00E63C2C">
        <w:rPr>
          <w:rFonts w:cstheme="minorHAnsi"/>
          <w:sz w:val="23"/>
          <w:szCs w:val="23"/>
        </w:rPr>
        <w:t xml:space="preserve">i Prezydentów NORDA powstałego z inicjatywy prezydenta Gdyni. Ostatecznie katalizatorem, który umożliwił przełamanie impasu, była implementacja ZIT-u. Najpierw udało się nawiązać porozumienie na rzecz realizacji ZIT-u (udział wszystkich miast rdzeniowych był wymogiem formalnym), </w:t>
      </w:r>
      <w:r w:rsidRPr="00E63C2C">
        <w:rPr>
          <w:rFonts w:cstheme="minorHAnsi"/>
          <w:b/>
          <w:sz w:val="23"/>
          <w:szCs w:val="23"/>
        </w:rPr>
        <w:t>jednak ostatecznie osiągnięto sukces, powołując do życia Stowarzyszenie Obszar Metropolitalny Gdańsk–Gdynia–Sopot</w:t>
      </w:r>
      <w:r w:rsidRPr="00E63C2C">
        <w:rPr>
          <w:rFonts w:cstheme="minorHAnsi"/>
          <w:sz w:val="23"/>
          <w:szCs w:val="23"/>
        </w:rPr>
        <w:t xml:space="preserve"> (SOMG-G-S); przystąpiono też do opracowania wspólnej strategii rozwoju do roku 2030. </w:t>
      </w:r>
    </w:p>
    <w:p w:rsidR="00B605BB" w:rsidRPr="00E63C2C" w:rsidRDefault="00B605BB" w:rsidP="00465973">
      <w:pPr>
        <w:pStyle w:val="Akapitzlist"/>
        <w:numPr>
          <w:ilvl w:val="0"/>
          <w:numId w:val="4"/>
        </w:numPr>
        <w:jc w:val="both"/>
        <w:rPr>
          <w:rFonts w:cstheme="minorHAnsi"/>
          <w:b/>
          <w:color w:val="ED7D31" w:themeColor="accent2"/>
          <w:sz w:val="23"/>
          <w:szCs w:val="23"/>
        </w:rPr>
      </w:pPr>
      <w:r w:rsidRPr="00E63C2C">
        <w:rPr>
          <w:rFonts w:cstheme="minorHAnsi"/>
          <w:b/>
          <w:color w:val="ED7D31" w:themeColor="accent2"/>
          <w:sz w:val="23"/>
          <w:szCs w:val="23"/>
        </w:rPr>
        <w:t>Zintegrowane Inwestycje Terytorialne - wykorzystany potencjał</w:t>
      </w:r>
    </w:p>
    <w:p w:rsidR="00894110" w:rsidRPr="00E63C2C" w:rsidRDefault="00B605BB" w:rsidP="00B605BB">
      <w:pPr>
        <w:pStyle w:val="Akapitzlist"/>
        <w:jc w:val="both"/>
        <w:rPr>
          <w:rFonts w:cstheme="minorHAnsi"/>
          <w:sz w:val="23"/>
          <w:szCs w:val="23"/>
        </w:rPr>
      </w:pPr>
      <w:r w:rsidRPr="00E63C2C">
        <w:rPr>
          <w:rFonts w:cstheme="minorHAnsi"/>
          <w:sz w:val="23"/>
          <w:szCs w:val="23"/>
        </w:rPr>
        <w:t xml:space="preserve">Zintegrowane Inwestycje Terytorialne to instrument, który w założeniu ma stymulować współpracę w obszarach funkcjonalnych. Duży wpływ na to, czy to się uda ma charakter projektów. </w:t>
      </w:r>
    </w:p>
    <w:p w:rsidR="00F96E04" w:rsidRPr="00E63C2C" w:rsidRDefault="00894110" w:rsidP="00611A6D">
      <w:pPr>
        <w:pStyle w:val="Akapitzlist"/>
        <w:jc w:val="both"/>
        <w:rPr>
          <w:rFonts w:cstheme="minorHAnsi"/>
          <w:color w:val="1A1A18"/>
          <w:sz w:val="23"/>
          <w:szCs w:val="23"/>
        </w:rPr>
      </w:pPr>
      <w:r w:rsidRPr="00E63C2C">
        <w:rPr>
          <w:rFonts w:cstheme="minorHAnsi"/>
          <w:color w:val="1A1A18"/>
          <w:sz w:val="23"/>
          <w:szCs w:val="23"/>
        </w:rPr>
        <w:t xml:space="preserve">W przypadku MOF-u Trójmiasta </w:t>
      </w:r>
      <w:r w:rsidRPr="00086925">
        <w:rPr>
          <w:rFonts w:cstheme="minorHAnsi"/>
          <w:b/>
          <w:color w:val="1A1A18"/>
          <w:sz w:val="23"/>
          <w:szCs w:val="23"/>
        </w:rPr>
        <w:t>ZIT był katalizatorem, który ostatecznie pchnął do współpracy</w:t>
      </w:r>
      <w:r w:rsidRPr="00E63C2C">
        <w:rPr>
          <w:rFonts w:cstheme="minorHAnsi"/>
          <w:color w:val="1A1A18"/>
          <w:sz w:val="23"/>
          <w:szCs w:val="23"/>
        </w:rPr>
        <w:t xml:space="preserve"> w ramach jednolitej struktury dwa dotąd raczej konkurujące niż</w:t>
      </w:r>
      <w:r w:rsidRPr="00E63C2C">
        <w:rPr>
          <w:rFonts w:cstheme="minorHAnsi"/>
          <w:color w:val="1A1A18"/>
          <w:sz w:val="23"/>
          <w:szCs w:val="23"/>
        </w:rPr>
        <w:br/>
        <w:t xml:space="preserve">współpracujące ośrodki. </w:t>
      </w:r>
      <w:r w:rsidR="00B605BB" w:rsidRPr="00E63C2C">
        <w:rPr>
          <w:rFonts w:cstheme="minorHAnsi"/>
          <w:sz w:val="23"/>
          <w:szCs w:val="23"/>
        </w:rPr>
        <w:t xml:space="preserve">Analiza wskazuje, że zaproponowane projekty </w:t>
      </w:r>
      <w:r w:rsidRPr="00E63C2C">
        <w:rPr>
          <w:rFonts w:cstheme="minorHAnsi"/>
          <w:color w:val="1A1A18"/>
          <w:sz w:val="23"/>
          <w:szCs w:val="23"/>
        </w:rPr>
        <w:t xml:space="preserve">mają bardzo </w:t>
      </w:r>
      <w:r w:rsidRPr="00E63C2C">
        <w:rPr>
          <w:rFonts w:cstheme="minorHAnsi"/>
          <w:color w:val="1A1A18"/>
          <w:sz w:val="23"/>
          <w:szCs w:val="23"/>
        </w:rPr>
        <w:lastRenderedPageBreak/>
        <w:t>wysoki (zwłaszcza na tle innych ośrodków) potencjał integrujący</w:t>
      </w:r>
      <w:r w:rsidR="00F96E04" w:rsidRPr="00E63C2C">
        <w:rPr>
          <w:rFonts w:cstheme="minorHAnsi"/>
          <w:color w:val="1A1A18"/>
          <w:sz w:val="23"/>
          <w:szCs w:val="23"/>
        </w:rPr>
        <w:t xml:space="preserve"> - ponad połowa zgłoszonych projektów w ramach strategii ZIT będzie realizowana we współpracy gmin rdzeniowych z minimum jedną gminą strefy zewnętrznej. Co ciekawe, Trójmiasto należy do czterech ośrodków, gdzie budżet ZIT-ów w przeliczeniu na mieszkańca wynosi najwięcej</w:t>
      </w:r>
      <w:r w:rsidR="00611A6D" w:rsidRPr="00E63C2C">
        <w:rPr>
          <w:rFonts w:cstheme="minorHAnsi"/>
          <w:color w:val="1A1A18"/>
          <w:sz w:val="23"/>
          <w:szCs w:val="23"/>
        </w:rPr>
        <w:t xml:space="preserve"> - </w:t>
      </w:r>
      <w:r w:rsidR="00F96E04" w:rsidRPr="00E63C2C">
        <w:rPr>
          <w:rFonts w:cstheme="minorHAnsi"/>
          <w:color w:val="1A1A18"/>
          <w:sz w:val="23"/>
          <w:szCs w:val="23"/>
        </w:rPr>
        <w:t>9,6 tys. zł</w:t>
      </w:r>
      <w:r w:rsidR="00611A6D" w:rsidRPr="00E63C2C">
        <w:rPr>
          <w:rFonts w:cstheme="minorHAnsi"/>
          <w:color w:val="1A1A18"/>
          <w:sz w:val="23"/>
          <w:szCs w:val="23"/>
        </w:rPr>
        <w:t xml:space="preserve">.  W większości pozostałych ośrodków w formie projektów przeznaczono na mieszkańca znacznie mniej pieniędzy, bo nawet poniżej 3 tys. złotych. </w:t>
      </w:r>
    </w:p>
    <w:p w:rsidR="00611A6D" w:rsidRPr="00E63C2C" w:rsidRDefault="00611A6D" w:rsidP="00611A6D">
      <w:pPr>
        <w:pStyle w:val="Akapitzlist"/>
        <w:numPr>
          <w:ilvl w:val="0"/>
          <w:numId w:val="4"/>
        </w:numPr>
        <w:jc w:val="both"/>
        <w:rPr>
          <w:rFonts w:cstheme="minorHAnsi"/>
          <w:b/>
          <w:color w:val="ED7D31" w:themeColor="accent2"/>
          <w:sz w:val="23"/>
          <w:szCs w:val="23"/>
        </w:rPr>
      </w:pPr>
      <w:r w:rsidRPr="00E63C2C">
        <w:rPr>
          <w:rFonts w:cstheme="minorHAnsi"/>
          <w:b/>
          <w:color w:val="ED7D31" w:themeColor="accent2"/>
          <w:sz w:val="23"/>
          <w:szCs w:val="23"/>
        </w:rPr>
        <w:t>Daleko do przystanku</w:t>
      </w:r>
    </w:p>
    <w:p w:rsidR="00611A6D" w:rsidRPr="00E63C2C" w:rsidRDefault="00611A6D" w:rsidP="00611A6D">
      <w:pPr>
        <w:pStyle w:val="Akapitzlist"/>
        <w:jc w:val="both"/>
        <w:rPr>
          <w:rFonts w:cstheme="minorHAnsi"/>
          <w:sz w:val="23"/>
          <w:szCs w:val="23"/>
        </w:rPr>
      </w:pPr>
      <w:r w:rsidRPr="00E63C2C">
        <w:rPr>
          <w:rFonts w:cstheme="minorHAnsi"/>
          <w:sz w:val="23"/>
          <w:szCs w:val="23"/>
        </w:rPr>
        <w:t xml:space="preserve">Mieszkańcy gmin podmiejskich mają znaczniej dalej do przystanku niż mieszkańcy gmin okalających inne miasta wojewódzkie - </w:t>
      </w:r>
      <w:r w:rsidRPr="00E63C2C">
        <w:rPr>
          <w:rFonts w:cstheme="minorHAnsi"/>
          <w:b/>
          <w:sz w:val="23"/>
          <w:szCs w:val="23"/>
        </w:rPr>
        <w:t>przeciętnie muszą przejść niemal 3 km</w:t>
      </w:r>
      <w:r w:rsidRPr="00E63C2C">
        <w:rPr>
          <w:rFonts w:cstheme="minorHAnsi"/>
          <w:sz w:val="23"/>
          <w:szCs w:val="23"/>
        </w:rPr>
        <w:t xml:space="preserve"> (2 774 m).</w:t>
      </w:r>
    </w:p>
    <w:p w:rsidR="00611A6D" w:rsidRPr="00E63C2C" w:rsidRDefault="00611A6D" w:rsidP="00611A6D">
      <w:pPr>
        <w:pStyle w:val="Akapitzlist"/>
        <w:jc w:val="both"/>
        <w:rPr>
          <w:rFonts w:cstheme="minorHAnsi"/>
          <w:color w:val="333333"/>
          <w:sz w:val="23"/>
          <w:szCs w:val="23"/>
          <w:shd w:val="clear" w:color="auto" w:fill="FFFFFF"/>
        </w:rPr>
      </w:pPr>
      <w:r w:rsidRPr="00E63C2C">
        <w:rPr>
          <w:rFonts w:cstheme="minorHAnsi"/>
          <w:sz w:val="23"/>
          <w:szCs w:val="23"/>
          <w:shd w:val="clear" w:color="auto" w:fill="FFFFFF"/>
        </w:rPr>
        <w:t xml:space="preserve">Jest to znacznie za daleko, aby transport publiczny był atrakcyjną alternatywą dla samochodu. Badacze wskazują, że odległość przystanku (autobusowego lub tramwajowego) od miejsca zamieszkania nie powinna przekraczać na terenach podmiejskich 640 metrów. Taki komfort ma 47% mieszkańców gmin pod Trójmiastem, co lokuje ośrodek ten poniżej średniej dla wszystkich MOF-ów. W najgorszej sytuacji są </w:t>
      </w:r>
      <w:r w:rsidR="000C16B5" w:rsidRPr="00E63C2C">
        <w:rPr>
          <w:rFonts w:cstheme="minorHAnsi"/>
          <w:sz w:val="23"/>
          <w:szCs w:val="23"/>
          <w:shd w:val="clear" w:color="auto" w:fill="FFFFFF"/>
        </w:rPr>
        <w:t xml:space="preserve">kolejno </w:t>
      </w:r>
      <w:r w:rsidRPr="00E63C2C">
        <w:rPr>
          <w:rFonts w:cstheme="minorHAnsi"/>
          <w:sz w:val="23"/>
          <w:szCs w:val="23"/>
          <w:shd w:val="clear" w:color="auto" w:fill="FFFFFF"/>
        </w:rPr>
        <w:t xml:space="preserve">mieszkańcy gminy: </w:t>
      </w:r>
      <w:r w:rsidR="000C16B5" w:rsidRPr="00E63C2C">
        <w:rPr>
          <w:rFonts w:cstheme="minorHAnsi"/>
          <w:b/>
          <w:sz w:val="23"/>
          <w:szCs w:val="23"/>
          <w:shd w:val="clear" w:color="auto" w:fill="FFFFFF"/>
        </w:rPr>
        <w:t>Władysławowo</w:t>
      </w:r>
      <w:r w:rsidR="000C16B5" w:rsidRPr="00E63C2C">
        <w:rPr>
          <w:rFonts w:cstheme="minorHAnsi"/>
          <w:sz w:val="23"/>
          <w:szCs w:val="23"/>
          <w:shd w:val="clear" w:color="auto" w:fill="FFFFFF"/>
        </w:rPr>
        <w:t xml:space="preserve"> (</w:t>
      </w:r>
      <w:r w:rsidR="000C16B5" w:rsidRPr="00E63C2C">
        <w:rPr>
          <w:rFonts w:cstheme="minorHAnsi"/>
          <w:color w:val="333333"/>
          <w:sz w:val="23"/>
          <w:szCs w:val="23"/>
          <w:shd w:val="clear" w:color="auto" w:fill="FFFFFF"/>
        </w:rPr>
        <w:t xml:space="preserve">4 743 m), </w:t>
      </w:r>
      <w:r w:rsidRPr="00E63C2C">
        <w:rPr>
          <w:rFonts w:cstheme="minorHAnsi"/>
          <w:b/>
          <w:sz w:val="23"/>
          <w:szCs w:val="23"/>
          <w:shd w:val="clear" w:color="auto" w:fill="FFFFFF"/>
        </w:rPr>
        <w:t>Kartuzy</w:t>
      </w:r>
      <w:r w:rsidRPr="00E63C2C">
        <w:rPr>
          <w:rFonts w:cstheme="minorHAnsi"/>
          <w:sz w:val="23"/>
          <w:szCs w:val="23"/>
          <w:shd w:val="clear" w:color="auto" w:fill="FFFFFF"/>
        </w:rPr>
        <w:t xml:space="preserve"> (</w:t>
      </w:r>
      <w:r w:rsidRPr="00E63C2C">
        <w:rPr>
          <w:rFonts w:cstheme="minorHAnsi"/>
          <w:color w:val="333333"/>
          <w:sz w:val="23"/>
          <w:szCs w:val="23"/>
          <w:shd w:val="clear" w:color="auto" w:fill="FFFFFF"/>
        </w:rPr>
        <w:t>3 780 m)</w:t>
      </w:r>
      <w:r w:rsidR="000C16B5" w:rsidRPr="00E63C2C">
        <w:rPr>
          <w:rFonts w:cstheme="minorHAnsi"/>
          <w:color w:val="333333"/>
          <w:sz w:val="23"/>
          <w:szCs w:val="23"/>
          <w:shd w:val="clear" w:color="auto" w:fill="FFFFFF"/>
        </w:rPr>
        <w:t xml:space="preserve"> oraz</w:t>
      </w:r>
      <w:r w:rsidRPr="00E63C2C">
        <w:rPr>
          <w:rFonts w:cstheme="minorHAnsi"/>
          <w:color w:val="333333"/>
          <w:sz w:val="23"/>
          <w:szCs w:val="23"/>
          <w:shd w:val="clear" w:color="auto" w:fill="FFFFFF"/>
        </w:rPr>
        <w:t xml:space="preserve"> </w:t>
      </w:r>
      <w:r w:rsidRPr="00E63C2C">
        <w:rPr>
          <w:rFonts w:cstheme="minorHAnsi"/>
          <w:b/>
          <w:color w:val="333333"/>
          <w:sz w:val="23"/>
          <w:szCs w:val="23"/>
          <w:shd w:val="clear" w:color="auto" w:fill="FFFFFF"/>
        </w:rPr>
        <w:t xml:space="preserve">Puck </w:t>
      </w:r>
      <w:r w:rsidRPr="00E63C2C">
        <w:rPr>
          <w:rFonts w:cstheme="minorHAnsi"/>
          <w:color w:val="333333"/>
          <w:sz w:val="23"/>
          <w:szCs w:val="23"/>
          <w:shd w:val="clear" w:color="auto" w:fill="FFFFFF"/>
        </w:rPr>
        <w:t>(3 550)</w:t>
      </w:r>
      <w:r w:rsidR="000C16B5" w:rsidRPr="00E63C2C">
        <w:rPr>
          <w:rFonts w:cstheme="minorHAnsi"/>
          <w:color w:val="333333"/>
          <w:sz w:val="23"/>
          <w:szCs w:val="23"/>
          <w:shd w:val="clear" w:color="auto" w:fill="FFFFFF"/>
        </w:rPr>
        <w:t>.</w:t>
      </w:r>
    </w:p>
    <w:p w:rsidR="000C16B5" w:rsidRPr="00E63C2C" w:rsidRDefault="000C16B5" w:rsidP="00F96E04">
      <w:pPr>
        <w:pStyle w:val="Akapitzlist"/>
        <w:numPr>
          <w:ilvl w:val="0"/>
          <w:numId w:val="4"/>
        </w:numPr>
        <w:jc w:val="both"/>
        <w:rPr>
          <w:rFonts w:cstheme="minorHAnsi"/>
          <w:b/>
          <w:color w:val="ED7D31" w:themeColor="accent2"/>
          <w:sz w:val="23"/>
          <w:szCs w:val="23"/>
        </w:rPr>
      </w:pPr>
      <w:r w:rsidRPr="00E63C2C">
        <w:rPr>
          <w:rFonts w:cstheme="minorHAnsi"/>
          <w:b/>
          <w:color w:val="ED7D31" w:themeColor="accent2"/>
          <w:sz w:val="23"/>
          <w:szCs w:val="23"/>
        </w:rPr>
        <w:t>Poczekasz na autobus</w:t>
      </w:r>
    </w:p>
    <w:p w:rsidR="00F96E04" w:rsidRPr="00E63C2C" w:rsidRDefault="000C16B5" w:rsidP="000C16B5">
      <w:pPr>
        <w:pStyle w:val="Akapitzlist"/>
        <w:jc w:val="both"/>
        <w:rPr>
          <w:rFonts w:cstheme="minorHAnsi"/>
          <w:sz w:val="23"/>
          <w:szCs w:val="23"/>
        </w:rPr>
      </w:pPr>
      <w:r w:rsidRPr="00E63C2C">
        <w:rPr>
          <w:rFonts w:cstheme="minorHAnsi"/>
          <w:sz w:val="23"/>
          <w:szCs w:val="23"/>
        </w:rPr>
        <w:t xml:space="preserve">W raporcie zbadano liczbę par połączeń komunikacją publiczną z i do Trójmiasta w dni robocze. Wyniki </w:t>
      </w:r>
      <w:r w:rsidR="00456364" w:rsidRPr="00E63C2C">
        <w:rPr>
          <w:rFonts w:cstheme="minorHAnsi"/>
          <w:sz w:val="23"/>
          <w:szCs w:val="23"/>
        </w:rPr>
        <w:t>nie są zadowalające</w:t>
      </w:r>
      <w:r w:rsidRPr="00E63C2C">
        <w:rPr>
          <w:rFonts w:cstheme="minorHAnsi"/>
          <w:sz w:val="23"/>
          <w:szCs w:val="23"/>
        </w:rPr>
        <w:t xml:space="preserve">. W przeliczeniu na 1000 mieszkańców w gminach podmiejskich </w:t>
      </w:r>
      <w:r w:rsidR="00456364" w:rsidRPr="00E63C2C">
        <w:rPr>
          <w:rFonts w:cstheme="minorHAnsi"/>
          <w:sz w:val="23"/>
          <w:szCs w:val="23"/>
        </w:rPr>
        <w:t>kursuje 4,9</w:t>
      </w:r>
      <w:r w:rsidRPr="00E63C2C">
        <w:rPr>
          <w:rFonts w:cstheme="minorHAnsi"/>
          <w:sz w:val="23"/>
          <w:szCs w:val="23"/>
        </w:rPr>
        <w:t xml:space="preserve"> par połączeń z/do </w:t>
      </w:r>
      <w:r w:rsidR="00456364" w:rsidRPr="00E63C2C">
        <w:rPr>
          <w:rFonts w:cstheme="minorHAnsi"/>
          <w:sz w:val="23"/>
          <w:szCs w:val="23"/>
        </w:rPr>
        <w:t>Trójmiasta</w:t>
      </w:r>
      <w:r w:rsidRPr="00E63C2C">
        <w:rPr>
          <w:rFonts w:cstheme="minorHAnsi"/>
          <w:sz w:val="23"/>
          <w:szCs w:val="23"/>
        </w:rPr>
        <w:t>.</w:t>
      </w:r>
      <w:r w:rsidR="00456364" w:rsidRPr="00E63C2C">
        <w:rPr>
          <w:rFonts w:cstheme="minorHAnsi"/>
          <w:sz w:val="23"/>
          <w:szCs w:val="23"/>
        </w:rPr>
        <w:t xml:space="preserve"> Średnia dla pozostałych ośrodków wynosi na 1000 mieszkańców 7,4 par połączeń komunikacją publiczną. </w:t>
      </w:r>
    </w:p>
    <w:p w:rsidR="00456364" w:rsidRPr="00E63C2C" w:rsidRDefault="00456364" w:rsidP="00456364">
      <w:pPr>
        <w:pStyle w:val="Akapitzlist"/>
        <w:numPr>
          <w:ilvl w:val="0"/>
          <w:numId w:val="4"/>
        </w:numPr>
        <w:jc w:val="both"/>
        <w:rPr>
          <w:rFonts w:cstheme="minorHAnsi"/>
          <w:b/>
          <w:color w:val="ED7D31" w:themeColor="accent2"/>
          <w:sz w:val="23"/>
          <w:szCs w:val="23"/>
        </w:rPr>
      </w:pPr>
      <w:r w:rsidRPr="00E63C2C">
        <w:rPr>
          <w:rFonts w:cstheme="minorHAnsi"/>
          <w:b/>
          <w:color w:val="ED7D31" w:themeColor="accent2"/>
          <w:sz w:val="23"/>
          <w:szCs w:val="23"/>
        </w:rPr>
        <w:t xml:space="preserve">Integracja transportowa – jest dobrze, ale może być lepiej </w:t>
      </w:r>
    </w:p>
    <w:p w:rsidR="00161EB4" w:rsidRPr="00E63C2C" w:rsidRDefault="00456364" w:rsidP="00161EB4">
      <w:pPr>
        <w:pStyle w:val="Akapitzlist"/>
        <w:jc w:val="both"/>
        <w:rPr>
          <w:rFonts w:cstheme="minorHAnsi"/>
          <w:sz w:val="23"/>
          <w:szCs w:val="23"/>
        </w:rPr>
      </w:pPr>
      <w:r w:rsidRPr="00E63C2C">
        <w:rPr>
          <w:rFonts w:cstheme="minorHAnsi"/>
          <w:sz w:val="23"/>
          <w:szCs w:val="23"/>
        </w:rPr>
        <w:t>Trójmiasto zostało ocenione jako piąty ośrodek (na 17) z najlepiej zintegrowaną komunikacją publiczną. Wyżej znalazł się kolejno MOF Poznania, Wrocławia, Warszawy</w:t>
      </w:r>
      <w:r w:rsidR="00EA732E" w:rsidRPr="00E63C2C">
        <w:rPr>
          <w:rFonts w:cstheme="minorHAnsi"/>
          <w:sz w:val="23"/>
          <w:szCs w:val="23"/>
        </w:rPr>
        <w:t xml:space="preserve"> </w:t>
      </w:r>
      <w:r w:rsidR="009C72F0" w:rsidRPr="00E63C2C">
        <w:rPr>
          <w:rFonts w:cstheme="minorHAnsi"/>
          <w:sz w:val="23"/>
          <w:szCs w:val="23"/>
        </w:rPr>
        <w:br/>
      </w:r>
      <w:r w:rsidR="00EA732E" w:rsidRPr="00E63C2C">
        <w:rPr>
          <w:rFonts w:cstheme="minorHAnsi"/>
          <w:sz w:val="23"/>
          <w:szCs w:val="23"/>
        </w:rPr>
        <w:t>i</w:t>
      </w:r>
      <w:r w:rsidRPr="00E63C2C">
        <w:rPr>
          <w:rFonts w:cstheme="minorHAnsi"/>
          <w:sz w:val="23"/>
          <w:szCs w:val="23"/>
        </w:rPr>
        <w:t xml:space="preserve"> Krakowa</w:t>
      </w:r>
      <w:r w:rsidR="00EA732E" w:rsidRPr="00E63C2C">
        <w:rPr>
          <w:rFonts w:cstheme="minorHAnsi"/>
          <w:sz w:val="23"/>
          <w:szCs w:val="23"/>
        </w:rPr>
        <w:t xml:space="preserve">. Działania, jakie zostały w ostatnich latach podjęte </w:t>
      </w:r>
      <w:r w:rsidR="009D6CB5" w:rsidRPr="00E63C2C">
        <w:rPr>
          <w:rFonts w:cstheme="minorHAnsi"/>
          <w:sz w:val="23"/>
          <w:szCs w:val="23"/>
        </w:rPr>
        <w:t>zostały wysoko ocenione przez autorów.</w:t>
      </w:r>
      <w:r w:rsidR="009C72F0" w:rsidRPr="00E63C2C">
        <w:rPr>
          <w:rFonts w:cstheme="minorHAnsi"/>
          <w:sz w:val="23"/>
          <w:szCs w:val="23"/>
        </w:rPr>
        <w:t xml:space="preserve"> Chodzi przede wszystkim o zintegrowany bilet oraz liczne parkingi typu Park&amp;Ride. W ośrodku trójmiejskim wyróżnia się ponadto sprawnie działająca kolej.</w:t>
      </w:r>
      <w:r w:rsidR="009D6CB5" w:rsidRPr="00E63C2C">
        <w:rPr>
          <w:rFonts w:cstheme="minorHAnsi"/>
          <w:sz w:val="23"/>
          <w:szCs w:val="23"/>
        </w:rPr>
        <w:t xml:space="preserve"> Skąd więc piąta pozycja? </w:t>
      </w:r>
      <w:r w:rsidR="00EA732E" w:rsidRPr="00E63C2C">
        <w:rPr>
          <w:sz w:val="23"/>
          <w:szCs w:val="23"/>
        </w:rPr>
        <w:t>Transport zintegrowany funkcjonuje zaledwie w połowie gmin na obszarze</w:t>
      </w:r>
      <w:r w:rsidR="009D6CB5" w:rsidRPr="00E63C2C">
        <w:rPr>
          <w:sz w:val="23"/>
          <w:szCs w:val="23"/>
        </w:rPr>
        <w:t xml:space="preserve"> trójmiejskiego</w:t>
      </w:r>
      <w:r w:rsidR="00EA732E" w:rsidRPr="00E63C2C">
        <w:rPr>
          <w:sz w:val="23"/>
          <w:szCs w:val="23"/>
        </w:rPr>
        <w:t xml:space="preserve"> MOF</w:t>
      </w:r>
      <w:r w:rsidR="009D6CB5" w:rsidRPr="00E63C2C">
        <w:rPr>
          <w:sz w:val="23"/>
          <w:szCs w:val="23"/>
        </w:rPr>
        <w:t>-u</w:t>
      </w:r>
      <w:r w:rsidR="009C72F0" w:rsidRPr="00E63C2C">
        <w:rPr>
          <w:sz w:val="23"/>
          <w:szCs w:val="23"/>
        </w:rPr>
        <w:t>, a</w:t>
      </w:r>
      <w:r w:rsidR="00EA732E" w:rsidRPr="00E63C2C">
        <w:rPr>
          <w:sz w:val="23"/>
          <w:szCs w:val="23"/>
        </w:rPr>
        <w:t xml:space="preserve"> </w:t>
      </w:r>
      <w:r w:rsidR="009C72F0" w:rsidRPr="00E63C2C">
        <w:rPr>
          <w:sz w:val="23"/>
          <w:szCs w:val="23"/>
        </w:rPr>
        <w:t>sześć</w:t>
      </w:r>
      <w:r w:rsidR="00EA732E" w:rsidRPr="00E63C2C">
        <w:rPr>
          <w:sz w:val="23"/>
          <w:szCs w:val="23"/>
        </w:rPr>
        <w:t xml:space="preserve"> nie posiada bezpośredniego połączenia </w:t>
      </w:r>
      <w:r w:rsidR="009C72F0" w:rsidRPr="00E63C2C">
        <w:rPr>
          <w:sz w:val="23"/>
          <w:szCs w:val="23"/>
        </w:rPr>
        <w:t xml:space="preserve">komunikacją publiczną </w:t>
      </w:r>
      <w:r w:rsidR="00EA732E" w:rsidRPr="00E63C2C">
        <w:rPr>
          <w:sz w:val="23"/>
          <w:szCs w:val="23"/>
        </w:rPr>
        <w:t>z rdzeniem</w:t>
      </w:r>
      <w:r w:rsidR="009C72F0" w:rsidRPr="00E63C2C">
        <w:rPr>
          <w:sz w:val="23"/>
          <w:szCs w:val="23"/>
        </w:rPr>
        <w:t>, czyli Gdańskiem, Gdynią lub Sopotem</w:t>
      </w:r>
      <w:r w:rsidR="00EA732E" w:rsidRPr="00E63C2C">
        <w:rPr>
          <w:sz w:val="23"/>
          <w:szCs w:val="23"/>
        </w:rPr>
        <w:t xml:space="preserve">. </w:t>
      </w:r>
      <w:r w:rsidR="007919B9">
        <w:rPr>
          <w:sz w:val="23"/>
          <w:szCs w:val="23"/>
        </w:rPr>
        <w:t>Wiele jednak wskazuje, że w kolejnym raporcie</w:t>
      </w:r>
      <w:r w:rsidR="00D405BD">
        <w:rPr>
          <w:sz w:val="23"/>
          <w:szCs w:val="23"/>
        </w:rPr>
        <w:t xml:space="preserve">, tj. za trzy lata, MOF Trójmiasta zostanie oceniony wyżej. Może na to wpłynąć uruchomienie Roweru Metropolitalnego oraz wdrożenie opcji </w:t>
      </w:r>
      <w:r w:rsidR="00C14AFE">
        <w:rPr>
          <w:sz w:val="23"/>
          <w:szCs w:val="23"/>
        </w:rPr>
        <w:br/>
      </w:r>
      <w:r w:rsidR="00D405BD">
        <w:rPr>
          <w:sz w:val="23"/>
          <w:szCs w:val="23"/>
        </w:rPr>
        <w:t xml:space="preserve">tzw. jednego biletu w </w:t>
      </w:r>
      <w:r w:rsidR="00C14AFE">
        <w:rPr>
          <w:sz w:val="23"/>
          <w:szCs w:val="23"/>
        </w:rPr>
        <w:t>województwie p</w:t>
      </w:r>
      <w:r w:rsidR="00D405BD">
        <w:rPr>
          <w:sz w:val="23"/>
          <w:szCs w:val="23"/>
        </w:rPr>
        <w:t>omorskim.</w:t>
      </w:r>
      <w:r w:rsidRPr="00E63C2C">
        <w:rPr>
          <w:rFonts w:cstheme="minorHAnsi"/>
          <w:sz w:val="23"/>
          <w:szCs w:val="23"/>
        </w:rPr>
        <w:t xml:space="preserve">  </w:t>
      </w:r>
    </w:p>
    <w:p w:rsidR="00161EB4" w:rsidRPr="00E63C2C" w:rsidRDefault="00161EB4" w:rsidP="00161EB4">
      <w:pPr>
        <w:pStyle w:val="Akapitzlist"/>
        <w:numPr>
          <w:ilvl w:val="0"/>
          <w:numId w:val="4"/>
        </w:numPr>
        <w:jc w:val="both"/>
        <w:rPr>
          <w:rFonts w:cstheme="minorHAnsi"/>
          <w:b/>
          <w:color w:val="ED7D31" w:themeColor="accent2"/>
          <w:sz w:val="23"/>
          <w:szCs w:val="23"/>
        </w:rPr>
      </w:pPr>
      <w:r w:rsidRPr="00E63C2C">
        <w:rPr>
          <w:rFonts w:cstheme="minorHAnsi"/>
          <w:b/>
          <w:color w:val="ED7D31" w:themeColor="accent2"/>
          <w:sz w:val="23"/>
          <w:szCs w:val="23"/>
        </w:rPr>
        <w:t>Naukowe wsparcie przyśpiesza współpracę</w:t>
      </w:r>
    </w:p>
    <w:p w:rsidR="006A1CC3" w:rsidRPr="00E63C2C" w:rsidRDefault="00161EB4" w:rsidP="009C72F0">
      <w:pPr>
        <w:pStyle w:val="Akapitzlist"/>
        <w:jc w:val="both"/>
        <w:rPr>
          <w:rFonts w:cstheme="minorHAnsi"/>
          <w:color w:val="1A1A18"/>
          <w:sz w:val="23"/>
          <w:szCs w:val="23"/>
        </w:rPr>
      </w:pPr>
      <w:r w:rsidRPr="00E63C2C">
        <w:rPr>
          <w:rFonts w:cstheme="minorHAnsi"/>
          <w:color w:val="1A1A18"/>
          <w:sz w:val="23"/>
          <w:szCs w:val="23"/>
        </w:rPr>
        <w:t xml:space="preserve">Trójmiasto należy wraz z Poznaniem i Szczecinem do ośrodków, gdzie na początkowym etapie budowania sieci współpracy w MOF-ie  ważne okazało się wsparcie ze strony środowisk akademickich i eksperckich. Akcentowały one istniejące powiązania oraz potencjał i korzyści możliwe do osiągnięcia w ramach skoordynowanej współpracy na rzecz zintegrowanego rozwoju całego obszaru. Wsparcie okazało się również bardzo istotne przy diagnozowaniu bieżących potrzeb i wyzwań związanych ze współpracą w ramach MOF-ów. Dużą rolę odegrała w tym zakresie działalność np. Instytutu Metropolitalnego. </w:t>
      </w:r>
    </w:p>
    <w:p w:rsidR="009C72F0" w:rsidRDefault="009C72F0" w:rsidP="009C72F0">
      <w:pPr>
        <w:pStyle w:val="Akapitzlist"/>
        <w:jc w:val="both"/>
        <w:rPr>
          <w:rFonts w:cstheme="minorHAnsi"/>
          <w:sz w:val="23"/>
          <w:szCs w:val="23"/>
        </w:rPr>
      </w:pPr>
    </w:p>
    <w:p w:rsidR="00086925" w:rsidRDefault="00086925" w:rsidP="009C72F0">
      <w:pPr>
        <w:pStyle w:val="Akapitzlist"/>
        <w:jc w:val="both"/>
        <w:rPr>
          <w:rFonts w:cstheme="minorHAnsi"/>
          <w:sz w:val="23"/>
          <w:szCs w:val="23"/>
        </w:rPr>
      </w:pPr>
    </w:p>
    <w:p w:rsidR="00086925" w:rsidRDefault="00086925" w:rsidP="009C72F0">
      <w:pPr>
        <w:pStyle w:val="Akapitzlist"/>
        <w:jc w:val="both"/>
        <w:rPr>
          <w:rFonts w:cstheme="minorHAnsi"/>
          <w:sz w:val="23"/>
          <w:szCs w:val="23"/>
        </w:rPr>
      </w:pPr>
    </w:p>
    <w:p w:rsidR="00086925" w:rsidRDefault="00086925" w:rsidP="009C72F0">
      <w:pPr>
        <w:pStyle w:val="Akapitzlist"/>
        <w:jc w:val="both"/>
        <w:rPr>
          <w:rFonts w:cstheme="minorHAnsi"/>
          <w:sz w:val="23"/>
          <w:szCs w:val="23"/>
        </w:rPr>
      </w:pPr>
    </w:p>
    <w:p w:rsidR="00086925" w:rsidRDefault="00086925" w:rsidP="009C72F0">
      <w:pPr>
        <w:pStyle w:val="Akapitzlist"/>
        <w:jc w:val="both"/>
        <w:rPr>
          <w:rFonts w:cstheme="minorHAnsi"/>
          <w:sz w:val="23"/>
          <w:szCs w:val="23"/>
        </w:rPr>
      </w:pPr>
    </w:p>
    <w:p w:rsidR="00086925" w:rsidRPr="00E63C2C" w:rsidRDefault="00086925" w:rsidP="009C72F0">
      <w:pPr>
        <w:pStyle w:val="Akapitzlist"/>
        <w:jc w:val="both"/>
        <w:rPr>
          <w:rFonts w:cstheme="minorHAnsi"/>
          <w:sz w:val="23"/>
          <w:szCs w:val="23"/>
        </w:rPr>
      </w:pPr>
    </w:p>
    <w:p w:rsidR="0039467C" w:rsidRPr="00E63C2C" w:rsidRDefault="007D61B3" w:rsidP="00821586">
      <w:pPr>
        <w:pStyle w:val="Akapitzlist"/>
        <w:ind w:left="0"/>
        <w:rPr>
          <w:rFonts w:cstheme="minorHAnsi"/>
          <w:b/>
          <w:sz w:val="23"/>
          <w:szCs w:val="23"/>
        </w:rPr>
      </w:pPr>
      <w:r w:rsidRPr="00E63C2C">
        <w:rPr>
          <w:rFonts w:cstheme="minorHAnsi"/>
          <w:b/>
          <w:sz w:val="23"/>
          <w:szCs w:val="23"/>
        </w:rPr>
        <w:lastRenderedPageBreak/>
        <w:t>Kluczowe wnioski</w:t>
      </w:r>
      <w:r w:rsidR="00821586" w:rsidRPr="00E63C2C">
        <w:rPr>
          <w:rFonts w:cstheme="minorHAnsi"/>
          <w:b/>
          <w:sz w:val="23"/>
          <w:szCs w:val="23"/>
        </w:rPr>
        <w:t xml:space="preserve"> dla wszystkich ośrodków w Polsce</w:t>
      </w:r>
    </w:p>
    <w:p w:rsidR="00821586" w:rsidRPr="00E63C2C" w:rsidRDefault="00821586" w:rsidP="00AB1978">
      <w:pPr>
        <w:pStyle w:val="Akapitzlist"/>
        <w:rPr>
          <w:rFonts w:cstheme="minorHAnsi"/>
          <w:b/>
          <w:sz w:val="23"/>
          <w:szCs w:val="23"/>
        </w:rPr>
      </w:pPr>
    </w:p>
    <w:p w:rsidR="001453D7" w:rsidRPr="00E63C2C" w:rsidRDefault="004106E4" w:rsidP="00DA073E">
      <w:pPr>
        <w:pStyle w:val="Akapitzlist"/>
        <w:numPr>
          <w:ilvl w:val="0"/>
          <w:numId w:val="1"/>
        </w:numPr>
        <w:spacing w:after="0" w:line="276" w:lineRule="auto"/>
        <w:jc w:val="both"/>
        <w:rPr>
          <w:rFonts w:cstheme="minorHAnsi"/>
          <w:sz w:val="23"/>
          <w:szCs w:val="23"/>
        </w:rPr>
      </w:pPr>
      <w:r w:rsidRPr="00E63C2C">
        <w:rPr>
          <w:rFonts w:cstheme="minorHAnsi"/>
          <w:b/>
          <w:color w:val="ED7D31"/>
          <w:sz w:val="23"/>
          <w:szCs w:val="23"/>
        </w:rPr>
        <w:t>Zarządzani</w:t>
      </w:r>
      <w:r w:rsidR="00821586" w:rsidRPr="00E63C2C">
        <w:rPr>
          <w:rFonts w:cstheme="minorHAnsi"/>
          <w:b/>
          <w:color w:val="ED7D31"/>
          <w:sz w:val="23"/>
          <w:szCs w:val="23"/>
        </w:rPr>
        <w:t>e miejskimi obszarami f</w:t>
      </w:r>
      <w:r w:rsidRPr="00E63C2C">
        <w:rPr>
          <w:rFonts w:cstheme="minorHAnsi"/>
          <w:b/>
          <w:color w:val="ED7D31"/>
          <w:sz w:val="23"/>
          <w:szCs w:val="23"/>
        </w:rPr>
        <w:t xml:space="preserve">unkcjonalnymi oparte na współpracy może się </w:t>
      </w:r>
      <w:r w:rsidR="001453D7" w:rsidRPr="00E63C2C">
        <w:rPr>
          <w:rFonts w:cstheme="minorHAnsi"/>
          <w:b/>
          <w:color w:val="ED7D31"/>
          <w:sz w:val="23"/>
          <w:szCs w:val="23"/>
        </w:rPr>
        <w:br/>
      </w:r>
      <w:r w:rsidRPr="00E63C2C">
        <w:rPr>
          <w:rFonts w:cstheme="minorHAnsi"/>
          <w:b/>
          <w:color w:val="ED7D31"/>
          <w:sz w:val="23"/>
          <w:szCs w:val="23"/>
        </w:rPr>
        <w:t>w Polsce udać.</w:t>
      </w:r>
      <w:r w:rsidRPr="00E63C2C">
        <w:rPr>
          <w:rFonts w:cstheme="minorHAnsi"/>
          <w:color w:val="ED7D31"/>
          <w:sz w:val="23"/>
          <w:szCs w:val="23"/>
        </w:rPr>
        <w:t xml:space="preserve"> </w:t>
      </w:r>
    </w:p>
    <w:p w:rsidR="004106E4" w:rsidRPr="00E63C2C" w:rsidRDefault="004106E4" w:rsidP="001453D7">
      <w:pPr>
        <w:pStyle w:val="Akapitzlist"/>
        <w:spacing w:after="0" w:line="276" w:lineRule="auto"/>
        <w:jc w:val="both"/>
        <w:rPr>
          <w:rFonts w:cstheme="minorHAnsi"/>
          <w:sz w:val="23"/>
          <w:szCs w:val="23"/>
        </w:rPr>
      </w:pPr>
      <w:r w:rsidRPr="00E63C2C">
        <w:rPr>
          <w:rFonts w:cstheme="minorHAnsi"/>
          <w:sz w:val="23"/>
          <w:szCs w:val="23"/>
        </w:rPr>
        <w:t xml:space="preserve">Są już przykłady dobrych doświadczeń, np. </w:t>
      </w:r>
      <w:r w:rsidR="008F3B54" w:rsidRPr="00E63C2C">
        <w:rPr>
          <w:rFonts w:cstheme="minorHAnsi"/>
          <w:sz w:val="23"/>
          <w:szCs w:val="23"/>
        </w:rPr>
        <w:t xml:space="preserve">z </w:t>
      </w:r>
      <w:r w:rsidRPr="00E63C2C">
        <w:rPr>
          <w:rFonts w:cstheme="minorHAnsi"/>
          <w:b/>
          <w:sz w:val="23"/>
          <w:szCs w:val="23"/>
        </w:rPr>
        <w:t>Poznania</w:t>
      </w:r>
      <w:r w:rsidRPr="00E63C2C">
        <w:rPr>
          <w:rFonts w:cstheme="minorHAnsi"/>
          <w:sz w:val="23"/>
          <w:szCs w:val="23"/>
        </w:rPr>
        <w:t xml:space="preserve">, posiadającego najbardziej rozwinięte i ugruntowane struktury dobrowolnej i oddolnie zawiązywanej współpracy </w:t>
      </w:r>
      <w:r w:rsidR="001453D7" w:rsidRPr="00E63C2C">
        <w:rPr>
          <w:rFonts w:cstheme="minorHAnsi"/>
          <w:sz w:val="23"/>
          <w:szCs w:val="23"/>
        </w:rPr>
        <w:br/>
      </w:r>
      <w:r w:rsidRPr="00E63C2C">
        <w:rPr>
          <w:rFonts w:cstheme="minorHAnsi"/>
          <w:sz w:val="23"/>
          <w:szCs w:val="23"/>
        </w:rPr>
        <w:t>w ramach Stowarzyszenia Metropolia Poznań (SMP);</w:t>
      </w:r>
      <w:r w:rsidR="008F3B54" w:rsidRPr="00E63C2C">
        <w:rPr>
          <w:rFonts w:cstheme="minorHAnsi"/>
          <w:sz w:val="23"/>
          <w:szCs w:val="23"/>
        </w:rPr>
        <w:t xml:space="preserve"> z</w:t>
      </w:r>
      <w:r w:rsidRPr="00E63C2C">
        <w:rPr>
          <w:rFonts w:cstheme="minorHAnsi"/>
          <w:sz w:val="23"/>
          <w:szCs w:val="23"/>
        </w:rPr>
        <w:t xml:space="preserve"> </w:t>
      </w:r>
      <w:r w:rsidRPr="00E63C2C">
        <w:rPr>
          <w:rFonts w:cstheme="minorHAnsi"/>
          <w:b/>
          <w:sz w:val="23"/>
          <w:szCs w:val="23"/>
        </w:rPr>
        <w:t>Szczecina</w:t>
      </w:r>
      <w:r w:rsidRPr="00E63C2C">
        <w:rPr>
          <w:rFonts w:cstheme="minorHAnsi"/>
          <w:sz w:val="23"/>
          <w:szCs w:val="23"/>
        </w:rPr>
        <w:t>, który doprowadził do objęcia sieciową współpracą wszystkie gmin</w:t>
      </w:r>
      <w:r w:rsidR="008F3B54" w:rsidRPr="00E63C2C">
        <w:rPr>
          <w:rFonts w:cstheme="minorHAnsi"/>
          <w:sz w:val="23"/>
          <w:szCs w:val="23"/>
        </w:rPr>
        <w:t>y</w:t>
      </w:r>
      <w:r w:rsidRPr="00E63C2C">
        <w:rPr>
          <w:rFonts w:cstheme="minorHAnsi"/>
          <w:sz w:val="23"/>
          <w:szCs w:val="23"/>
        </w:rPr>
        <w:t xml:space="preserve"> położon</w:t>
      </w:r>
      <w:r w:rsidR="008F3B54" w:rsidRPr="00E63C2C">
        <w:rPr>
          <w:rFonts w:cstheme="minorHAnsi"/>
          <w:sz w:val="23"/>
          <w:szCs w:val="23"/>
        </w:rPr>
        <w:t>e</w:t>
      </w:r>
      <w:r w:rsidRPr="00E63C2C">
        <w:rPr>
          <w:rFonts w:cstheme="minorHAnsi"/>
          <w:sz w:val="23"/>
          <w:szCs w:val="23"/>
        </w:rPr>
        <w:t xml:space="preserve"> w obszarze intensywnych powiązań funkcjonalnych; </w:t>
      </w:r>
      <w:r w:rsidR="008F3B54" w:rsidRPr="00E63C2C">
        <w:rPr>
          <w:rFonts w:cstheme="minorHAnsi"/>
          <w:sz w:val="23"/>
          <w:szCs w:val="23"/>
        </w:rPr>
        <w:t xml:space="preserve">z </w:t>
      </w:r>
      <w:r w:rsidR="008F3B54" w:rsidRPr="00E63C2C">
        <w:rPr>
          <w:rFonts w:cstheme="minorHAnsi"/>
          <w:b/>
          <w:sz w:val="23"/>
          <w:szCs w:val="23"/>
        </w:rPr>
        <w:t>Trójmiasta</w:t>
      </w:r>
      <w:r w:rsidR="008F3B54" w:rsidRPr="00E63C2C">
        <w:rPr>
          <w:rFonts w:cstheme="minorHAnsi"/>
          <w:sz w:val="23"/>
          <w:szCs w:val="23"/>
        </w:rPr>
        <w:t>, któremu udało się wyjść ponad konkurencję dwóch miast - Gdańska</w:t>
      </w:r>
      <w:r w:rsidR="00B4376B" w:rsidRPr="00E63C2C">
        <w:rPr>
          <w:rFonts w:cstheme="minorHAnsi"/>
          <w:sz w:val="23"/>
          <w:szCs w:val="23"/>
        </w:rPr>
        <w:fldChar w:fldCharType="begin"/>
      </w:r>
      <w:r w:rsidR="008F3B54" w:rsidRPr="00E63C2C">
        <w:rPr>
          <w:rFonts w:cstheme="minorHAnsi"/>
          <w:sz w:val="23"/>
          <w:szCs w:val="23"/>
        </w:rPr>
        <w:instrText xml:space="preserve"> XE "Gdańsk" </w:instrText>
      </w:r>
      <w:r w:rsidR="00B4376B" w:rsidRPr="00E63C2C">
        <w:rPr>
          <w:rFonts w:cstheme="minorHAnsi"/>
          <w:sz w:val="23"/>
          <w:szCs w:val="23"/>
        </w:rPr>
        <w:fldChar w:fldCharType="end"/>
      </w:r>
      <w:r w:rsidR="008F3B54" w:rsidRPr="00E63C2C">
        <w:rPr>
          <w:rFonts w:cstheme="minorHAnsi"/>
          <w:sz w:val="23"/>
          <w:szCs w:val="23"/>
        </w:rPr>
        <w:t xml:space="preserve"> i Gdyni na rzecz efektywnej współpracy w ramach wspólnego stowarzyszenia. </w:t>
      </w:r>
    </w:p>
    <w:p w:rsidR="008F3B54" w:rsidRPr="00E63C2C" w:rsidRDefault="004668E9" w:rsidP="00DA073E">
      <w:pPr>
        <w:pStyle w:val="Akapitzlist"/>
        <w:numPr>
          <w:ilvl w:val="0"/>
          <w:numId w:val="1"/>
        </w:numPr>
        <w:spacing w:after="0" w:line="276" w:lineRule="auto"/>
        <w:jc w:val="both"/>
        <w:rPr>
          <w:rFonts w:cstheme="minorHAnsi"/>
          <w:b/>
          <w:color w:val="ED7D31"/>
          <w:sz w:val="23"/>
          <w:szCs w:val="23"/>
        </w:rPr>
      </w:pPr>
      <w:r w:rsidRPr="00E63C2C">
        <w:rPr>
          <w:rFonts w:cstheme="minorHAnsi"/>
          <w:b/>
          <w:color w:val="ED7D31"/>
          <w:sz w:val="23"/>
          <w:szCs w:val="23"/>
        </w:rPr>
        <w:t>Równocześnie p</w:t>
      </w:r>
      <w:r w:rsidR="008F3B54" w:rsidRPr="00E63C2C">
        <w:rPr>
          <w:rFonts w:cstheme="minorHAnsi"/>
          <w:b/>
          <w:color w:val="ED7D31"/>
          <w:sz w:val="23"/>
          <w:szCs w:val="23"/>
        </w:rPr>
        <w:t xml:space="preserve">rzeciętny poziom współpracy </w:t>
      </w:r>
      <w:r w:rsidR="00FF3227" w:rsidRPr="00E63C2C">
        <w:rPr>
          <w:rFonts w:cstheme="minorHAnsi"/>
          <w:b/>
          <w:color w:val="ED7D31"/>
          <w:sz w:val="23"/>
          <w:szCs w:val="23"/>
        </w:rPr>
        <w:t xml:space="preserve">w MOF </w:t>
      </w:r>
      <w:r w:rsidR="008F3B54" w:rsidRPr="00E63C2C">
        <w:rPr>
          <w:rFonts w:cstheme="minorHAnsi"/>
          <w:b/>
          <w:color w:val="ED7D31"/>
          <w:sz w:val="23"/>
          <w:szCs w:val="23"/>
        </w:rPr>
        <w:t xml:space="preserve">jest niski. </w:t>
      </w:r>
    </w:p>
    <w:p w:rsidR="008F3B54" w:rsidRPr="00E63C2C" w:rsidRDefault="004D6E4A" w:rsidP="00DA073E">
      <w:pPr>
        <w:pStyle w:val="Akapitzlist"/>
        <w:spacing w:after="0" w:line="276" w:lineRule="auto"/>
        <w:jc w:val="both"/>
        <w:rPr>
          <w:rFonts w:cstheme="minorHAnsi"/>
          <w:sz w:val="23"/>
          <w:szCs w:val="23"/>
        </w:rPr>
      </w:pPr>
      <w:r w:rsidRPr="00E63C2C">
        <w:rPr>
          <w:rFonts w:cstheme="minorHAnsi"/>
          <w:sz w:val="23"/>
          <w:szCs w:val="23"/>
        </w:rPr>
        <w:t xml:space="preserve">Dominują wąskie porozumienia bilateralne. Współpraca o charakterze sieciowym należy do rzadkości. </w:t>
      </w:r>
      <w:r w:rsidR="008F3B54" w:rsidRPr="00E63C2C">
        <w:rPr>
          <w:rFonts w:cstheme="minorHAnsi"/>
          <w:sz w:val="23"/>
          <w:szCs w:val="23"/>
        </w:rPr>
        <w:t>Wynika to między innymi ze skomplikowanych regulacji prawnych ale również z braku wiedzy i świadomości korzyści płynących z ewentualnej współpracy. Do tego można dodać lokalną specyfikę, związaną chociażby z miejscowymi antagonizmami czy konkurencyjnymi układami politycznymi.</w:t>
      </w:r>
      <w:r w:rsidRPr="00E63C2C">
        <w:rPr>
          <w:rFonts w:cstheme="minorHAnsi"/>
          <w:sz w:val="23"/>
          <w:szCs w:val="23"/>
        </w:rPr>
        <w:t xml:space="preserve"> </w:t>
      </w:r>
      <w:r w:rsidR="00B60DB1" w:rsidRPr="00E63C2C">
        <w:rPr>
          <w:rFonts w:cstheme="minorHAnsi"/>
          <w:sz w:val="23"/>
          <w:szCs w:val="23"/>
        </w:rPr>
        <w:t xml:space="preserve">Ponadto Zintegrowane Inwestycje Terytorialne, które powinny służyć rozwijaniu współpracy traktowane są instrumentalnie w celu wykorzystania unijnych funduszy. </w:t>
      </w:r>
    </w:p>
    <w:p w:rsidR="004D6E4A" w:rsidRPr="00E63C2C" w:rsidRDefault="004D6E4A" w:rsidP="00DA073E">
      <w:pPr>
        <w:pStyle w:val="Akapitzlist"/>
        <w:numPr>
          <w:ilvl w:val="0"/>
          <w:numId w:val="1"/>
        </w:numPr>
        <w:spacing w:after="0" w:line="276" w:lineRule="auto"/>
        <w:jc w:val="both"/>
        <w:rPr>
          <w:rFonts w:cstheme="minorHAnsi"/>
          <w:color w:val="ED7D31"/>
          <w:sz w:val="23"/>
          <w:szCs w:val="23"/>
        </w:rPr>
      </w:pPr>
      <w:r w:rsidRPr="00E63C2C">
        <w:rPr>
          <w:rFonts w:cstheme="minorHAnsi"/>
          <w:b/>
          <w:color w:val="ED7D31"/>
          <w:sz w:val="23"/>
          <w:szCs w:val="23"/>
        </w:rPr>
        <w:t xml:space="preserve">Silne i duże ośrodki nie chcą się integrować, a mniejsze wybierają drogę na skróty wchłaniając zamiast współpracować z okolicznymi gminami. </w:t>
      </w:r>
    </w:p>
    <w:p w:rsidR="007D61B3" w:rsidRPr="00E63C2C" w:rsidRDefault="004D6E4A" w:rsidP="00DA073E">
      <w:pPr>
        <w:pStyle w:val="Akapitzlist"/>
        <w:spacing w:after="0" w:line="276" w:lineRule="auto"/>
        <w:jc w:val="both"/>
        <w:rPr>
          <w:rFonts w:cstheme="minorHAnsi"/>
          <w:sz w:val="23"/>
          <w:szCs w:val="23"/>
        </w:rPr>
      </w:pPr>
      <w:r w:rsidRPr="00E63C2C">
        <w:rPr>
          <w:rFonts w:cstheme="minorHAnsi"/>
          <w:sz w:val="23"/>
          <w:szCs w:val="23"/>
        </w:rPr>
        <w:t>Dwa największe</w:t>
      </w:r>
      <w:r w:rsidRPr="00E63C2C">
        <w:rPr>
          <w:rFonts w:cstheme="minorHAnsi"/>
          <w:b/>
          <w:sz w:val="23"/>
          <w:szCs w:val="23"/>
        </w:rPr>
        <w:t xml:space="preserve"> </w:t>
      </w:r>
      <w:r w:rsidRPr="00E63C2C">
        <w:rPr>
          <w:rFonts w:cstheme="minorHAnsi"/>
          <w:sz w:val="23"/>
          <w:szCs w:val="23"/>
        </w:rPr>
        <w:t xml:space="preserve">ośrodki metropolitalne, tj. </w:t>
      </w:r>
      <w:r w:rsidRPr="00E63C2C">
        <w:rPr>
          <w:rFonts w:cstheme="minorHAnsi"/>
          <w:b/>
          <w:sz w:val="23"/>
          <w:szCs w:val="23"/>
        </w:rPr>
        <w:t>Warszawa</w:t>
      </w:r>
      <w:r w:rsidR="00B4376B" w:rsidRPr="00E63C2C">
        <w:rPr>
          <w:rFonts w:cstheme="minorHAnsi"/>
          <w:sz w:val="23"/>
          <w:szCs w:val="23"/>
        </w:rPr>
        <w:fldChar w:fldCharType="begin"/>
      </w:r>
      <w:r w:rsidRPr="00E63C2C">
        <w:rPr>
          <w:rFonts w:cstheme="minorHAnsi"/>
          <w:sz w:val="23"/>
          <w:szCs w:val="23"/>
        </w:rPr>
        <w:instrText xml:space="preserve"> XE "MOF Warszawy" </w:instrText>
      </w:r>
      <w:r w:rsidR="00B4376B" w:rsidRPr="00E63C2C">
        <w:rPr>
          <w:rFonts w:cstheme="minorHAnsi"/>
          <w:sz w:val="23"/>
          <w:szCs w:val="23"/>
        </w:rPr>
        <w:fldChar w:fldCharType="end"/>
      </w:r>
      <w:r w:rsidRPr="00E63C2C">
        <w:rPr>
          <w:rFonts w:cstheme="minorHAnsi"/>
          <w:sz w:val="23"/>
          <w:szCs w:val="23"/>
        </w:rPr>
        <w:t xml:space="preserve"> i </w:t>
      </w:r>
      <w:r w:rsidRPr="00E63C2C">
        <w:rPr>
          <w:rFonts w:cstheme="minorHAnsi"/>
          <w:b/>
          <w:sz w:val="23"/>
          <w:szCs w:val="23"/>
        </w:rPr>
        <w:t>Kraków</w:t>
      </w:r>
      <w:r w:rsidRPr="00E63C2C">
        <w:rPr>
          <w:rFonts w:cstheme="minorHAnsi"/>
          <w:sz w:val="23"/>
          <w:szCs w:val="23"/>
        </w:rPr>
        <w:t xml:space="preserve">, ,,odklejają się” od swoich obszarów funkcjonalnych. Czują się one samowystarczalne i nie widza potrzeby rozwijania współpracy z okolicznymi gminami. Z kolei ośrodki o mniejszym potencjale ludnościowym i ekonomicznym, tj. </w:t>
      </w:r>
      <w:r w:rsidRPr="00E63C2C">
        <w:rPr>
          <w:rFonts w:cstheme="minorHAnsi"/>
          <w:b/>
          <w:sz w:val="23"/>
          <w:szCs w:val="23"/>
        </w:rPr>
        <w:t>Rzeszów</w:t>
      </w:r>
      <w:r w:rsidR="00B4376B" w:rsidRPr="00E63C2C">
        <w:rPr>
          <w:rFonts w:cstheme="minorHAnsi"/>
          <w:sz w:val="23"/>
          <w:szCs w:val="23"/>
        </w:rPr>
        <w:fldChar w:fldCharType="begin"/>
      </w:r>
      <w:r w:rsidRPr="00E63C2C">
        <w:rPr>
          <w:rFonts w:cstheme="minorHAnsi"/>
          <w:sz w:val="23"/>
          <w:szCs w:val="23"/>
        </w:rPr>
        <w:instrText xml:space="preserve"> XE "Rzeszów" </w:instrText>
      </w:r>
      <w:r w:rsidR="00B4376B" w:rsidRPr="00E63C2C">
        <w:rPr>
          <w:rFonts w:cstheme="minorHAnsi"/>
          <w:sz w:val="23"/>
          <w:szCs w:val="23"/>
        </w:rPr>
        <w:fldChar w:fldCharType="end"/>
      </w:r>
      <w:r w:rsidRPr="00E63C2C">
        <w:rPr>
          <w:rFonts w:cstheme="minorHAnsi"/>
          <w:sz w:val="23"/>
          <w:szCs w:val="23"/>
        </w:rPr>
        <w:t xml:space="preserve">, </w:t>
      </w:r>
      <w:r w:rsidRPr="00E63C2C">
        <w:rPr>
          <w:rFonts w:cstheme="minorHAnsi"/>
          <w:b/>
          <w:sz w:val="23"/>
          <w:szCs w:val="23"/>
        </w:rPr>
        <w:t>Zielona Góra</w:t>
      </w:r>
      <w:r w:rsidR="00B4376B" w:rsidRPr="00E63C2C">
        <w:rPr>
          <w:rFonts w:cstheme="minorHAnsi"/>
          <w:b/>
          <w:sz w:val="23"/>
          <w:szCs w:val="23"/>
        </w:rPr>
        <w:fldChar w:fldCharType="begin"/>
      </w:r>
      <w:r w:rsidRPr="00E63C2C">
        <w:rPr>
          <w:rFonts w:cstheme="minorHAnsi"/>
          <w:b/>
          <w:sz w:val="23"/>
          <w:szCs w:val="23"/>
        </w:rPr>
        <w:instrText xml:space="preserve"> XE "Zielona Góra" </w:instrText>
      </w:r>
      <w:r w:rsidR="00B4376B" w:rsidRPr="00E63C2C">
        <w:rPr>
          <w:rFonts w:cstheme="minorHAnsi"/>
          <w:b/>
          <w:sz w:val="23"/>
          <w:szCs w:val="23"/>
        </w:rPr>
        <w:fldChar w:fldCharType="end"/>
      </w:r>
      <w:r w:rsidRPr="00E63C2C">
        <w:rPr>
          <w:rFonts w:cstheme="minorHAnsi"/>
          <w:sz w:val="23"/>
          <w:szCs w:val="23"/>
        </w:rPr>
        <w:t xml:space="preserve"> czy </w:t>
      </w:r>
      <w:r w:rsidRPr="00E63C2C">
        <w:rPr>
          <w:rFonts w:cstheme="minorHAnsi"/>
          <w:b/>
          <w:sz w:val="23"/>
          <w:szCs w:val="23"/>
        </w:rPr>
        <w:t>Opole</w:t>
      </w:r>
      <w:r w:rsidRPr="00E63C2C">
        <w:rPr>
          <w:rFonts w:cstheme="minorHAnsi"/>
          <w:sz w:val="23"/>
          <w:szCs w:val="23"/>
        </w:rPr>
        <w:t xml:space="preserve">, problem integracji rozwiązują poprzez włączanie sąsiednich gmin lub ich części w swoje granice administracyjne. </w:t>
      </w:r>
      <w:r w:rsidR="00B4376B" w:rsidRPr="00E63C2C">
        <w:rPr>
          <w:rFonts w:cstheme="minorHAnsi"/>
          <w:sz w:val="23"/>
          <w:szCs w:val="23"/>
        </w:rPr>
        <w:fldChar w:fldCharType="begin"/>
      </w:r>
      <w:r w:rsidRPr="00E63C2C">
        <w:rPr>
          <w:rFonts w:cstheme="minorHAnsi"/>
          <w:sz w:val="23"/>
          <w:szCs w:val="23"/>
        </w:rPr>
        <w:instrText xml:space="preserve"> XE "MOF Krakowa" </w:instrText>
      </w:r>
      <w:r w:rsidR="00B4376B" w:rsidRPr="00E63C2C">
        <w:rPr>
          <w:rFonts w:cstheme="minorHAnsi"/>
          <w:sz w:val="23"/>
          <w:szCs w:val="23"/>
        </w:rPr>
        <w:fldChar w:fldCharType="end"/>
      </w:r>
    </w:p>
    <w:p w:rsidR="001131E1" w:rsidRPr="00E63C2C" w:rsidRDefault="004106E4" w:rsidP="00DA073E">
      <w:pPr>
        <w:pStyle w:val="Akapitzlist"/>
        <w:numPr>
          <w:ilvl w:val="0"/>
          <w:numId w:val="1"/>
        </w:numPr>
        <w:spacing w:after="0" w:line="276" w:lineRule="auto"/>
        <w:jc w:val="both"/>
        <w:rPr>
          <w:rFonts w:cstheme="minorHAnsi"/>
          <w:b/>
          <w:color w:val="ED7D31"/>
          <w:sz w:val="23"/>
          <w:szCs w:val="23"/>
        </w:rPr>
      </w:pPr>
      <w:r w:rsidRPr="00E63C2C">
        <w:rPr>
          <w:rFonts w:cstheme="minorHAnsi"/>
          <w:b/>
          <w:color w:val="ED7D31"/>
          <w:sz w:val="23"/>
          <w:szCs w:val="23"/>
        </w:rPr>
        <w:t>Efektywne zarządzanie MOF-ami wymaga rzetelnej wiedzy na ich temat.</w:t>
      </w:r>
    </w:p>
    <w:p w:rsidR="001131E1" w:rsidRPr="00E63C2C" w:rsidRDefault="007D61B3" w:rsidP="00DA073E">
      <w:pPr>
        <w:pStyle w:val="Akapitzlist"/>
        <w:spacing w:after="0" w:line="276" w:lineRule="auto"/>
        <w:jc w:val="both"/>
        <w:rPr>
          <w:rFonts w:cstheme="minorHAnsi"/>
          <w:sz w:val="23"/>
          <w:szCs w:val="23"/>
        </w:rPr>
      </w:pPr>
      <w:r w:rsidRPr="00E63C2C">
        <w:rPr>
          <w:rFonts w:cstheme="minorHAnsi"/>
          <w:sz w:val="23"/>
          <w:szCs w:val="23"/>
        </w:rPr>
        <w:t xml:space="preserve">Brak także systemowych rozwiązań w zakresie gromadzenia danych o współpracy międzysamorządowej – </w:t>
      </w:r>
      <w:r w:rsidR="00052FAF" w:rsidRPr="00E63C2C">
        <w:rPr>
          <w:rFonts w:cstheme="minorHAnsi"/>
          <w:sz w:val="23"/>
          <w:szCs w:val="23"/>
        </w:rPr>
        <w:t xml:space="preserve"> </w:t>
      </w:r>
      <w:r w:rsidRPr="00E63C2C">
        <w:rPr>
          <w:rFonts w:cstheme="minorHAnsi"/>
          <w:sz w:val="23"/>
          <w:szCs w:val="23"/>
        </w:rPr>
        <w:t>choć różne formalne aspekty tej współpracy są rejestrowane, to rejestry nie są zintegrowane</w:t>
      </w:r>
      <w:r w:rsidR="004668E9" w:rsidRPr="00E63C2C">
        <w:rPr>
          <w:rFonts w:cstheme="minorHAnsi"/>
          <w:sz w:val="23"/>
          <w:szCs w:val="23"/>
        </w:rPr>
        <w:t>. B</w:t>
      </w:r>
      <w:r w:rsidRPr="00E63C2C">
        <w:rPr>
          <w:rFonts w:cstheme="minorHAnsi"/>
          <w:sz w:val="23"/>
          <w:szCs w:val="23"/>
        </w:rPr>
        <w:t>rak też właściw</w:t>
      </w:r>
      <w:r w:rsidR="004668E9" w:rsidRPr="00E63C2C">
        <w:rPr>
          <w:rFonts w:cstheme="minorHAnsi"/>
          <w:sz w:val="23"/>
          <w:szCs w:val="23"/>
        </w:rPr>
        <w:t xml:space="preserve">ego opisu atrybutów współpracy, </w:t>
      </w:r>
      <w:r w:rsidRPr="00E63C2C">
        <w:rPr>
          <w:rFonts w:cstheme="minorHAnsi"/>
          <w:sz w:val="23"/>
          <w:szCs w:val="23"/>
        </w:rPr>
        <w:t>np. ujednoliconych kategorii odnoszących się do za</w:t>
      </w:r>
      <w:r w:rsidR="004668E9" w:rsidRPr="00E63C2C">
        <w:rPr>
          <w:rFonts w:cstheme="minorHAnsi"/>
          <w:sz w:val="23"/>
          <w:szCs w:val="23"/>
        </w:rPr>
        <w:t>kresu przedmiotowego współpracy</w:t>
      </w:r>
      <w:r w:rsidRPr="00E63C2C">
        <w:rPr>
          <w:rFonts w:cstheme="minorHAnsi"/>
          <w:sz w:val="23"/>
          <w:szCs w:val="23"/>
        </w:rPr>
        <w:t>.</w:t>
      </w:r>
    </w:p>
    <w:p w:rsidR="001131E1" w:rsidRPr="00E63C2C" w:rsidRDefault="007D61B3" w:rsidP="00DA073E">
      <w:pPr>
        <w:pStyle w:val="Akapitzlist"/>
        <w:numPr>
          <w:ilvl w:val="0"/>
          <w:numId w:val="1"/>
        </w:numPr>
        <w:spacing w:after="0" w:line="276" w:lineRule="auto"/>
        <w:jc w:val="both"/>
        <w:rPr>
          <w:rFonts w:cstheme="minorHAnsi"/>
          <w:b/>
          <w:color w:val="ED7D31"/>
          <w:sz w:val="23"/>
          <w:szCs w:val="23"/>
        </w:rPr>
      </w:pPr>
      <w:r w:rsidRPr="00E63C2C">
        <w:rPr>
          <w:rFonts w:cstheme="minorHAnsi"/>
          <w:b/>
          <w:color w:val="ED7D31"/>
          <w:sz w:val="23"/>
          <w:szCs w:val="23"/>
        </w:rPr>
        <w:t xml:space="preserve">Transport w MOF-ach pozostawia wiele do życzenia. Obecnie rzadko kiedy stanowi atrakcyjną alternatywę dla podróży samochodem. </w:t>
      </w:r>
    </w:p>
    <w:p w:rsidR="007D61B3" w:rsidRPr="00E63C2C" w:rsidRDefault="007D61B3" w:rsidP="00DA073E">
      <w:pPr>
        <w:pStyle w:val="Akapitzlist"/>
        <w:spacing w:after="0" w:line="276" w:lineRule="auto"/>
        <w:jc w:val="both"/>
        <w:rPr>
          <w:rFonts w:cstheme="minorHAnsi"/>
          <w:sz w:val="23"/>
          <w:szCs w:val="23"/>
        </w:rPr>
      </w:pPr>
      <w:r w:rsidRPr="00E63C2C">
        <w:rPr>
          <w:rFonts w:cstheme="minorHAnsi"/>
          <w:sz w:val="23"/>
          <w:szCs w:val="23"/>
        </w:rPr>
        <w:t>Wiele samorządów będących w zasięgu funkcjonalnych powiązań nie posiada bezpośrednich połączeń komunikacją publiczną z ośrodkiem rdzeniowym. A nawet jeśli są</w:t>
      </w:r>
      <w:r w:rsidR="00DA073E" w:rsidRPr="00E63C2C">
        <w:rPr>
          <w:rFonts w:cstheme="minorHAnsi"/>
          <w:sz w:val="23"/>
          <w:szCs w:val="23"/>
        </w:rPr>
        <w:t>,</w:t>
      </w:r>
      <w:r w:rsidR="00554021" w:rsidRPr="00E63C2C">
        <w:rPr>
          <w:rFonts w:cstheme="minorHAnsi"/>
          <w:sz w:val="23"/>
          <w:szCs w:val="23"/>
        </w:rPr>
        <w:t xml:space="preserve"> to</w:t>
      </w:r>
      <w:r w:rsidRPr="00E63C2C">
        <w:rPr>
          <w:rFonts w:cstheme="minorHAnsi"/>
          <w:sz w:val="23"/>
          <w:szCs w:val="23"/>
        </w:rPr>
        <w:t xml:space="preserve"> częstotliwość i czas podróży nie zachęca do przesiadki z własnego samochodu. </w:t>
      </w:r>
      <w:r w:rsidR="002750D4" w:rsidRPr="00E63C2C">
        <w:rPr>
          <w:rFonts w:cstheme="minorHAnsi"/>
          <w:sz w:val="23"/>
          <w:szCs w:val="23"/>
        </w:rPr>
        <w:t xml:space="preserve">W przeliczeniu na 1000 mieszkańców w MOF-ach jest średnio </w:t>
      </w:r>
      <w:r w:rsidR="00554021" w:rsidRPr="00E63C2C">
        <w:rPr>
          <w:rFonts w:cstheme="minorHAnsi"/>
          <w:b/>
          <w:sz w:val="23"/>
          <w:szCs w:val="23"/>
        </w:rPr>
        <w:t>7 kursów dziennie</w:t>
      </w:r>
      <w:r w:rsidR="00554021" w:rsidRPr="00E63C2C">
        <w:rPr>
          <w:rFonts w:cstheme="minorHAnsi"/>
          <w:sz w:val="23"/>
          <w:szCs w:val="23"/>
        </w:rPr>
        <w:t xml:space="preserve"> komunikacj</w:t>
      </w:r>
      <w:r w:rsidR="009230C4" w:rsidRPr="00E63C2C">
        <w:rPr>
          <w:rFonts w:cstheme="minorHAnsi"/>
          <w:sz w:val="23"/>
          <w:szCs w:val="23"/>
        </w:rPr>
        <w:t>ą</w:t>
      </w:r>
      <w:r w:rsidR="00554021" w:rsidRPr="00E63C2C">
        <w:rPr>
          <w:rFonts w:cstheme="minorHAnsi"/>
          <w:sz w:val="23"/>
          <w:szCs w:val="23"/>
        </w:rPr>
        <w:t xml:space="preserve"> publiczn</w:t>
      </w:r>
      <w:r w:rsidR="009230C4" w:rsidRPr="00E63C2C">
        <w:rPr>
          <w:rFonts w:cstheme="minorHAnsi"/>
          <w:sz w:val="23"/>
          <w:szCs w:val="23"/>
        </w:rPr>
        <w:t>ą</w:t>
      </w:r>
      <w:r w:rsidR="00554021" w:rsidRPr="00E63C2C">
        <w:rPr>
          <w:rFonts w:cstheme="minorHAnsi"/>
          <w:sz w:val="23"/>
          <w:szCs w:val="23"/>
        </w:rPr>
        <w:t xml:space="preserve"> z i do </w:t>
      </w:r>
      <w:r w:rsidR="008D14CD" w:rsidRPr="00E63C2C">
        <w:rPr>
          <w:rFonts w:cstheme="minorHAnsi"/>
          <w:sz w:val="23"/>
          <w:szCs w:val="23"/>
        </w:rPr>
        <w:t>miasta centralnego</w:t>
      </w:r>
      <w:r w:rsidR="00554021" w:rsidRPr="00E63C2C">
        <w:rPr>
          <w:rFonts w:cstheme="minorHAnsi"/>
          <w:sz w:val="23"/>
          <w:szCs w:val="23"/>
        </w:rPr>
        <w:t xml:space="preserve">. Nie dość, że rzadko to jeszcze w wielu </w:t>
      </w:r>
      <w:r w:rsidR="00B60DB1" w:rsidRPr="00E63C2C">
        <w:rPr>
          <w:rFonts w:cstheme="minorHAnsi"/>
          <w:sz w:val="23"/>
          <w:szCs w:val="23"/>
        </w:rPr>
        <w:t>MOF-ach</w:t>
      </w:r>
      <w:r w:rsidR="00554021" w:rsidRPr="00E63C2C">
        <w:rPr>
          <w:rFonts w:cstheme="minorHAnsi"/>
          <w:sz w:val="23"/>
          <w:szCs w:val="23"/>
        </w:rPr>
        <w:t xml:space="preserve"> daleko</w:t>
      </w:r>
      <w:r w:rsidR="009230C4" w:rsidRPr="00E63C2C">
        <w:rPr>
          <w:rFonts w:cstheme="minorHAnsi"/>
          <w:sz w:val="23"/>
          <w:szCs w:val="23"/>
        </w:rPr>
        <w:t xml:space="preserve"> jest do przystanku</w:t>
      </w:r>
      <w:r w:rsidR="00554021" w:rsidRPr="00E63C2C">
        <w:rPr>
          <w:rFonts w:cstheme="minorHAnsi"/>
          <w:sz w:val="23"/>
          <w:szCs w:val="23"/>
        </w:rPr>
        <w:t xml:space="preserve">. </w:t>
      </w:r>
      <w:r w:rsidR="00554021" w:rsidRPr="00E63C2C">
        <w:rPr>
          <w:rFonts w:cstheme="minorHAnsi"/>
          <w:b/>
          <w:sz w:val="23"/>
          <w:szCs w:val="23"/>
        </w:rPr>
        <w:t>Średnia odległość</w:t>
      </w:r>
      <w:r w:rsidR="00B779A4" w:rsidRPr="00E63C2C">
        <w:rPr>
          <w:rFonts w:cstheme="minorHAnsi"/>
          <w:b/>
          <w:sz w:val="23"/>
          <w:szCs w:val="23"/>
        </w:rPr>
        <w:t xml:space="preserve"> do przystanku dla obszaru </w:t>
      </w:r>
      <w:r w:rsidR="009230C4" w:rsidRPr="00E63C2C">
        <w:rPr>
          <w:rFonts w:cstheme="minorHAnsi"/>
          <w:b/>
          <w:sz w:val="23"/>
          <w:szCs w:val="23"/>
        </w:rPr>
        <w:t xml:space="preserve">zabudowanego w gminach strefy zewnętrznej MOF </w:t>
      </w:r>
      <w:r w:rsidR="00554021" w:rsidRPr="00E63C2C">
        <w:rPr>
          <w:rFonts w:cstheme="minorHAnsi"/>
          <w:b/>
          <w:sz w:val="23"/>
          <w:szCs w:val="23"/>
        </w:rPr>
        <w:t>wynosi ponad 2 km</w:t>
      </w:r>
      <w:r w:rsidR="00554021" w:rsidRPr="00E63C2C">
        <w:rPr>
          <w:rFonts w:cstheme="minorHAnsi"/>
          <w:sz w:val="23"/>
          <w:szCs w:val="23"/>
        </w:rPr>
        <w:t xml:space="preserve">, a w niektórych ośrodkach jest to nawet ponad 3 km. </w:t>
      </w:r>
      <w:r w:rsidR="008D14CD" w:rsidRPr="00E63C2C">
        <w:rPr>
          <w:rFonts w:cstheme="minorHAnsi"/>
          <w:sz w:val="23"/>
          <w:szCs w:val="23"/>
        </w:rPr>
        <w:t>Brakuje również</w:t>
      </w:r>
      <w:r w:rsidRPr="00E63C2C">
        <w:rPr>
          <w:rFonts w:cstheme="minorHAnsi"/>
          <w:sz w:val="23"/>
          <w:szCs w:val="23"/>
        </w:rPr>
        <w:t xml:space="preserve"> pełnej integracji usług transportowych utrudnia życie podróżnych. </w:t>
      </w:r>
    </w:p>
    <w:p w:rsidR="000C16B5" w:rsidRPr="0060707E" w:rsidRDefault="000C16B5" w:rsidP="007D61B3">
      <w:pPr>
        <w:rPr>
          <w:rFonts w:cstheme="minorHAnsi"/>
          <w:sz w:val="23"/>
          <w:szCs w:val="23"/>
        </w:rPr>
      </w:pPr>
    </w:p>
    <w:p w:rsidR="0053697E" w:rsidRPr="0060707E" w:rsidRDefault="007A3B42" w:rsidP="0053697E">
      <w:pPr>
        <w:spacing w:line="276" w:lineRule="auto"/>
        <w:jc w:val="both"/>
        <w:rPr>
          <w:rFonts w:cstheme="minorHAnsi"/>
          <w:b/>
          <w:sz w:val="23"/>
          <w:szCs w:val="23"/>
        </w:rPr>
      </w:pPr>
      <w:r w:rsidRPr="0060707E">
        <w:rPr>
          <w:rFonts w:cstheme="minorHAnsi"/>
          <w:b/>
          <w:sz w:val="23"/>
          <w:szCs w:val="23"/>
        </w:rPr>
        <w:lastRenderedPageBreak/>
        <w:t xml:space="preserve">Raporty </w:t>
      </w:r>
    </w:p>
    <w:p w:rsidR="0053697E" w:rsidRPr="0060707E" w:rsidRDefault="0053697E" w:rsidP="0053697E">
      <w:pPr>
        <w:spacing w:line="276" w:lineRule="auto"/>
        <w:jc w:val="both"/>
        <w:rPr>
          <w:rFonts w:cstheme="minorHAnsi"/>
          <w:sz w:val="23"/>
          <w:szCs w:val="23"/>
        </w:rPr>
      </w:pPr>
      <w:r w:rsidRPr="0060707E">
        <w:rPr>
          <w:rFonts w:cstheme="minorHAnsi"/>
          <w:sz w:val="23"/>
          <w:szCs w:val="23"/>
        </w:rPr>
        <w:t>Obserwatorium Polityki Miejskiej IRM to inicjatywa Instytutu Rozwoju Miast, której głównym produktem jest cykl 11 raportów tematycznych, ukazujących się w cyklu trzyletnim. Przedmiotem badań są wszystkie miasta w Polsce. Dotychczas ukazał się raport:</w:t>
      </w:r>
    </w:p>
    <w:p w:rsidR="007A3B42" w:rsidRPr="0060707E" w:rsidRDefault="0053697E" w:rsidP="007A3B42">
      <w:pPr>
        <w:pStyle w:val="Akapitzlist"/>
        <w:numPr>
          <w:ilvl w:val="0"/>
          <w:numId w:val="3"/>
        </w:numPr>
        <w:spacing w:line="276" w:lineRule="auto"/>
        <w:rPr>
          <w:rFonts w:cstheme="minorHAnsi"/>
          <w:i/>
          <w:sz w:val="23"/>
          <w:szCs w:val="23"/>
        </w:rPr>
      </w:pPr>
      <w:r w:rsidRPr="0060707E">
        <w:rPr>
          <w:rFonts w:cstheme="minorHAnsi"/>
          <w:i/>
          <w:sz w:val="23"/>
          <w:szCs w:val="23"/>
        </w:rPr>
        <w:t xml:space="preserve">Rozwój </w:t>
      </w:r>
      <w:r w:rsidR="00BB516F" w:rsidRPr="0060707E">
        <w:rPr>
          <w:rFonts w:cstheme="minorHAnsi"/>
          <w:i/>
          <w:sz w:val="23"/>
          <w:szCs w:val="23"/>
        </w:rPr>
        <w:t>g</w:t>
      </w:r>
      <w:r w:rsidRPr="0060707E">
        <w:rPr>
          <w:rFonts w:cstheme="minorHAnsi"/>
          <w:i/>
          <w:sz w:val="23"/>
          <w:szCs w:val="23"/>
        </w:rPr>
        <w:t xml:space="preserve">ospodarczy </w:t>
      </w:r>
    </w:p>
    <w:p w:rsidR="007A3B42" w:rsidRPr="0060707E" w:rsidRDefault="0053697E" w:rsidP="007A3B42">
      <w:pPr>
        <w:pStyle w:val="Akapitzlist"/>
        <w:numPr>
          <w:ilvl w:val="0"/>
          <w:numId w:val="3"/>
        </w:numPr>
        <w:spacing w:line="276" w:lineRule="auto"/>
        <w:rPr>
          <w:rFonts w:cstheme="minorHAnsi"/>
          <w:i/>
          <w:sz w:val="23"/>
          <w:szCs w:val="23"/>
        </w:rPr>
      </w:pPr>
      <w:r w:rsidRPr="0060707E">
        <w:rPr>
          <w:rFonts w:cstheme="minorHAnsi"/>
          <w:i/>
          <w:sz w:val="23"/>
          <w:szCs w:val="23"/>
        </w:rPr>
        <w:t xml:space="preserve">Niskoemisyjność i efektywność energetyczna </w:t>
      </w:r>
    </w:p>
    <w:p w:rsidR="0053697E" w:rsidRPr="0060707E" w:rsidRDefault="007A3B42" w:rsidP="007A3B42">
      <w:pPr>
        <w:pStyle w:val="Akapitzlist"/>
        <w:numPr>
          <w:ilvl w:val="0"/>
          <w:numId w:val="3"/>
        </w:numPr>
        <w:spacing w:line="276" w:lineRule="auto"/>
        <w:rPr>
          <w:rFonts w:cstheme="minorHAnsi"/>
          <w:i/>
          <w:sz w:val="23"/>
          <w:szCs w:val="23"/>
        </w:rPr>
      </w:pPr>
      <w:r w:rsidRPr="0060707E">
        <w:rPr>
          <w:rFonts w:cstheme="minorHAnsi"/>
          <w:i/>
          <w:sz w:val="23"/>
          <w:szCs w:val="23"/>
        </w:rPr>
        <w:t>Zarządzanie i współpraca w miejskich obszarach funkcjonalnych</w:t>
      </w:r>
    </w:p>
    <w:p w:rsidR="007D61B3" w:rsidRPr="009230C4" w:rsidRDefault="00B4376B" w:rsidP="007D61B3">
      <w:pPr>
        <w:rPr>
          <w:rFonts w:asciiTheme="majorHAnsi" w:hAnsiTheme="majorHAnsi" w:cstheme="majorHAnsi"/>
        </w:rPr>
      </w:pPr>
      <w:r w:rsidRPr="009230C4">
        <w:rPr>
          <w:rFonts w:asciiTheme="majorHAnsi" w:hAnsiTheme="majorHAnsi" w:cstheme="majorHAnsi"/>
        </w:rPr>
        <w:fldChar w:fldCharType="begin"/>
      </w:r>
      <w:r w:rsidR="007D61B3" w:rsidRPr="009230C4">
        <w:rPr>
          <w:rFonts w:asciiTheme="majorHAnsi" w:hAnsiTheme="majorHAnsi" w:cstheme="majorHAnsi"/>
        </w:rPr>
        <w:instrText xml:space="preserve"> XE "MOF Wrocławia" </w:instrText>
      </w:r>
      <w:r w:rsidRPr="009230C4">
        <w:rPr>
          <w:rFonts w:asciiTheme="majorHAnsi" w:hAnsiTheme="majorHAnsi" w:cstheme="majorHAnsi"/>
        </w:rPr>
        <w:fldChar w:fldCharType="end"/>
      </w:r>
      <w:r w:rsidRPr="009230C4">
        <w:rPr>
          <w:rFonts w:asciiTheme="majorHAnsi" w:hAnsiTheme="majorHAnsi" w:cstheme="majorHAnsi"/>
        </w:rPr>
        <w:fldChar w:fldCharType="begin"/>
      </w:r>
      <w:r w:rsidR="007D61B3" w:rsidRPr="009230C4">
        <w:rPr>
          <w:rFonts w:asciiTheme="majorHAnsi" w:hAnsiTheme="majorHAnsi" w:cstheme="majorHAnsi"/>
        </w:rPr>
        <w:instrText xml:space="preserve"> XE "MOF Poznania" </w:instrText>
      </w:r>
      <w:r w:rsidRPr="009230C4">
        <w:rPr>
          <w:rFonts w:asciiTheme="majorHAnsi" w:hAnsiTheme="majorHAnsi" w:cstheme="majorHAnsi"/>
        </w:rPr>
        <w:fldChar w:fldCharType="end"/>
      </w:r>
    </w:p>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61471" w:rsidRPr="00EF7028" w:rsidTr="001F7A3A">
        <w:tc>
          <w:tcPr>
            <w:tcW w:w="4928" w:type="dxa"/>
          </w:tcPr>
          <w:p w:rsidR="00461471" w:rsidRPr="00EF7028" w:rsidRDefault="00461471" w:rsidP="001F7A3A">
            <w:pPr>
              <w:spacing w:before="80" w:after="80"/>
              <w:ind w:left="-105"/>
              <w:jc w:val="both"/>
              <w:rPr>
                <w:rFonts w:eastAsia="Times New Roman" w:cstheme="minorHAnsi"/>
                <w:color w:val="333333"/>
                <w:sz w:val="23"/>
                <w:szCs w:val="23"/>
                <w:lang w:eastAsia="pl-PL"/>
              </w:rPr>
            </w:pPr>
            <w:r w:rsidRPr="00EF7028">
              <w:rPr>
                <w:rFonts w:cstheme="minorHAnsi"/>
                <w:b/>
                <w:color w:val="ED7D31"/>
                <w:sz w:val="23"/>
                <w:szCs w:val="23"/>
              </w:rPr>
              <w:t>KONTAKT:</w:t>
            </w:r>
          </w:p>
        </w:tc>
      </w:tr>
      <w:tr w:rsidR="00461471" w:rsidRPr="00EF7028" w:rsidTr="001F7A3A">
        <w:trPr>
          <w:trHeight w:val="506"/>
        </w:trPr>
        <w:tc>
          <w:tcPr>
            <w:tcW w:w="4928" w:type="dxa"/>
          </w:tcPr>
          <w:p w:rsidR="00461471" w:rsidRPr="00EF7028" w:rsidRDefault="00461471" w:rsidP="001F7A3A">
            <w:pPr>
              <w:ind w:left="-105"/>
              <w:rPr>
                <w:rFonts w:cstheme="minorHAnsi"/>
                <w:sz w:val="23"/>
                <w:szCs w:val="23"/>
              </w:rPr>
            </w:pPr>
            <w:r w:rsidRPr="00EF7028">
              <w:rPr>
                <w:rFonts w:cstheme="minorHAnsi"/>
                <w:b/>
                <w:sz w:val="23"/>
                <w:szCs w:val="23"/>
              </w:rPr>
              <w:t>Karol Janas</w:t>
            </w:r>
            <w:r w:rsidRPr="00EF7028">
              <w:rPr>
                <w:rFonts w:cstheme="minorHAnsi"/>
                <w:sz w:val="23"/>
                <w:szCs w:val="23"/>
              </w:rPr>
              <w:t xml:space="preserve"> </w:t>
            </w:r>
          </w:p>
          <w:p w:rsidR="00461471" w:rsidRPr="00EF7028" w:rsidRDefault="00461471" w:rsidP="001F7A3A">
            <w:pPr>
              <w:ind w:left="-105"/>
              <w:rPr>
                <w:rFonts w:cstheme="minorHAnsi"/>
                <w:sz w:val="23"/>
                <w:szCs w:val="23"/>
              </w:rPr>
            </w:pPr>
            <w:r w:rsidRPr="00EF7028">
              <w:rPr>
                <w:rFonts w:cstheme="minorHAnsi"/>
                <w:sz w:val="23"/>
                <w:szCs w:val="23"/>
              </w:rPr>
              <w:t>Kierownik Obserwatorium Polityki Miejskiej IRM</w:t>
            </w:r>
          </w:p>
          <w:p w:rsidR="00461471" w:rsidRPr="00EF7028" w:rsidRDefault="00461471" w:rsidP="001F7A3A">
            <w:pPr>
              <w:ind w:left="-105"/>
              <w:rPr>
                <w:rFonts w:eastAsia="Times New Roman" w:cstheme="minorHAnsi"/>
                <w:sz w:val="23"/>
                <w:szCs w:val="23"/>
                <w:lang w:eastAsia="pl-PL"/>
              </w:rPr>
            </w:pPr>
            <w:r w:rsidRPr="00EF7028">
              <w:rPr>
                <w:rFonts w:cstheme="minorHAnsi"/>
                <w:sz w:val="23"/>
                <w:szCs w:val="23"/>
              </w:rPr>
              <w:t>Redaktor raportu</w:t>
            </w:r>
          </w:p>
        </w:tc>
      </w:tr>
      <w:tr w:rsidR="00461471" w:rsidRPr="00B047B3" w:rsidTr="001F7A3A">
        <w:trPr>
          <w:trHeight w:val="672"/>
        </w:trPr>
        <w:tc>
          <w:tcPr>
            <w:tcW w:w="4928" w:type="dxa"/>
          </w:tcPr>
          <w:p w:rsidR="00461471" w:rsidRPr="00EF7028" w:rsidRDefault="00461471" w:rsidP="001F7A3A">
            <w:pPr>
              <w:ind w:left="-105"/>
              <w:rPr>
                <w:rFonts w:cstheme="minorHAnsi"/>
                <w:sz w:val="23"/>
                <w:szCs w:val="23"/>
                <w:lang w:val="en-GB"/>
              </w:rPr>
            </w:pPr>
          </w:p>
          <w:p w:rsidR="00461471" w:rsidRPr="00EF7028" w:rsidRDefault="00461471" w:rsidP="001F7A3A">
            <w:pPr>
              <w:ind w:left="-105"/>
              <w:rPr>
                <w:rFonts w:cstheme="minorHAnsi"/>
                <w:sz w:val="23"/>
                <w:szCs w:val="23"/>
                <w:lang w:val="en-US"/>
              </w:rPr>
            </w:pPr>
            <w:r w:rsidRPr="00EF7028">
              <w:rPr>
                <w:rFonts w:cstheme="minorHAnsi"/>
                <w:sz w:val="23"/>
                <w:szCs w:val="23"/>
                <w:lang w:val="en-US"/>
              </w:rPr>
              <w:t xml:space="preserve">tel.: (+48) 12 634 29 53, wew. 21 </w:t>
            </w:r>
          </w:p>
          <w:p w:rsidR="00461471" w:rsidRPr="00EF7028" w:rsidRDefault="00461471" w:rsidP="001F7A3A">
            <w:pPr>
              <w:ind w:left="-105"/>
              <w:rPr>
                <w:rFonts w:cstheme="minorHAnsi"/>
                <w:sz w:val="23"/>
                <w:szCs w:val="23"/>
                <w:lang w:val="en-US"/>
              </w:rPr>
            </w:pPr>
            <w:r w:rsidRPr="00EF7028">
              <w:rPr>
                <w:rFonts w:cstheme="minorHAnsi"/>
                <w:sz w:val="23"/>
                <w:szCs w:val="23"/>
                <w:lang w:val="en-US"/>
              </w:rPr>
              <w:t xml:space="preserve">e-mail: kjanas@irm.krakow.pl </w:t>
            </w:r>
          </w:p>
        </w:tc>
      </w:tr>
    </w:tbl>
    <w:p w:rsidR="0039467C" w:rsidRPr="00461471" w:rsidRDefault="0039467C">
      <w:pPr>
        <w:rPr>
          <w:rFonts w:asciiTheme="majorHAnsi" w:hAnsiTheme="majorHAnsi" w:cstheme="majorHAnsi"/>
          <w:lang w:val="en-US"/>
        </w:rPr>
      </w:pPr>
    </w:p>
    <w:sectPr w:rsidR="0039467C" w:rsidRPr="00461471" w:rsidSect="007055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018" w:rsidRDefault="00374018" w:rsidP="00B5763F">
      <w:pPr>
        <w:spacing w:after="0" w:line="240" w:lineRule="auto"/>
      </w:pPr>
      <w:r>
        <w:separator/>
      </w:r>
    </w:p>
  </w:endnote>
  <w:endnote w:type="continuationSeparator" w:id="0">
    <w:p w:rsidR="00374018" w:rsidRDefault="00374018" w:rsidP="00B5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Karmina-Regular">
    <w:altName w:val="Cambria"/>
    <w:panose1 w:val="00000000000000000000"/>
    <w:charset w:val="00"/>
    <w:family w:val="roman"/>
    <w:notTrueType/>
    <w:pitch w:val="default"/>
  </w:font>
  <w:font w:name="Karmina-Bold">
    <w:altName w:val="Cambria"/>
    <w:panose1 w:val="00000000000000000000"/>
    <w:charset w:val="00"/>
    <w:family w:val="roman"/>
    <w:notTrueType/>
    <w:pitch w:val="default"/>
  </w:font>
  <w:font w:name="Dosis-Bold">
    <w:altName w:val="Times New Roman"/>
    <w:panose1 w:val="00000000000000000000"/>
    <w:charset w:val="00"/>
    <w:family w:val="roman"/>
    <w:notTrueType/>
    <w:pitch w:val="default"/>
  </w:font>
  <w:font w:name="Dosis-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018" w:rsidRDefault="00374018" w:rsidP="00B5763F">
      <w:pPr>
        <w:spacing w:after="0" w:line="240" w:lineRule="auto"/>
      </w:pPr>
      <w:r>
        <w:separator/>
      </w:r>
    </w:p>
  </w:footnote>
  <w:footnote w:type="continuationSeparator" w:id="0">
    <w:p w:rsidR="00374018" w:rsidRDefault="00374018" w:rsidP="00B57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C22ED"/>
    <w:multiLevelType w:val="hybridMultilevel"/>
    <w:tmpl w:val="9F8683EA"/>
    <w:lvl w:ilvl="0" w:tplc="4FDE5FE4">
      <w:start w:val="1"/>
      <w:numFmt w:val="bullet"/>
      <w:pStyle w:val="Lista-"/>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42707F39"/>
    <w:multiLevelType w:val="hybridMultilevel"/>
    <w:tmpl w:val="1660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1C2F4F"/>
    <w:multiLevelType w:val="hybridMultilevel"/>
    <w:tmpl w:val="11E28F38"/>
    <w:lvl w:ilvl="0" w:tplc="E35E37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F866E6"/>
    <w:multiLevelType w:val="hybridMultilevel"/>
    <w:tmpl w:val="CF80F244"/>
    <w:lvl w:ilvl="0" w:tplc="25CE9C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7C"/>
    <w:rsid w:val="00007980"/>
    <w:rsid w:val="00037CC8"/>
    <w:rsid w:val="00052FAF"/>
    <w:rsid w:val="00086925"/>
    <w:rsid w:val="00094F08"/>
    <w:rsid w:val="000C16B5"/>
    <w:rsid w:val="000C3BA8"/>
    <w:rsid w:val="000C64C2"/>
    <w:rsid w:val="000F0BAA"/>
    <w:rsid w:val="001131E1"/>
    <w:rsid w:val="001145CD"/>
    <w:rsid w:val="001453D7"/>
    <w:rsid w:val="00161EB4"/>
    <w:rsid w:val="00164856"/>
    <w:rsid w:val="00190D29"/>
    <w:rsid w:val="001F55A8"/>
    <w:rsid w:val="001F7A3A"/>
    <w:rsid w:val="00245E62"/>
    <w:rsid w:val="00254B03"/>
    <w:rsid w:val="002750D4"/>
    <w:rsid w:val="00292209"/>
    <w:rsid w:val="002E3ACC"/>
    <w:rsid w:val="002E4779"/>
    <w:rsid w:val="003111A5"/>
    <w:rsid w:val="00335105"/>
    <w:rsid w:val="00366BCD"/>
    <w:rsid w:val="00374018"/>
    <w:rsid w:val="00377130"/>
    <w:rsid w:val="0039467C"/>
    <w:rsid w:val="00396188"/>
    <w:rsid w:val="003A000E"/>
    <w:rsid w:val="003A7CE4"/>
    <w:rsid w:val="003B3ED5"/>
    <w:rsid w:val="003C0FAB"/>
    <w:rsid w:val="004106E4"/>
    <w:rsid w:val="0041321B"/>
    <w:rsid w:val="00424C53"/>
    <w:rsid w:val="00446336"/>
    <w:rsid w:val="00454D97"/>
    <w:rsid w:val="00456364"/>
    <w:rsid w:val="00461471"/>
    <w:rsid w:val="0046205E"/>
    <w:rsid w:val="00463417"/>
    <w:rsid w:val="00465973"/>
    <w:rsid w:val="004668E9"/>
    <w:rsid w:val="00476172"/>
    <w:rsid w:val="004828B4"/>
    <w:rsid w:val="004C11A4"/>
    <w:rsid w:val="004C5B8C"/>
    <w:rsid w:val="004D6E4A"/>
    <w:rsid w:val="005179EF"/>
    <w:rsid w:val="0053697E"/>
    <w:rsid w:val="00541633"/>
    <w:rsid w:val="00554021"/>
    <w:rsid w:val="00554C36"/>
    <w:rsid w:val="00560189"/>
    <w:rsid w:val="00562E35"/>
    <w:rsid w:val="005664C6"/>
    <w:rsid w:val="0059182D"/>
    <w:rsid w:val="005C6948"/>
    <w:rsid w:val="00605C77"/>
    <w:rsid w:val="0060707E"/>
    <w:rsid w:val="00611A6D"/>
    <w:rsid w:val="006A1CC3"/>
    <w:rsid w:val="006B0B80"/>
    <w:rsid w:val="006B2F7D"/>
    <w:rsid w:val="006D3A9B"/>
    <w:rsid w:val="0070554F"/>
    <w:rsid w:val="00762BE4"/>
    <w:rsid w:val="00783DFE"/>
    <w:rsid w:val="007919B9"/>
    <w:rsid w:val="00796585"/>
    <w:rsid w:val="007965C2"/>
    <w:rsid w:val="007A1B11"/>
    <w:rsid w:val="007A3B42"/>
    <w:rsid w:val="007C3160"/>
    <w:rsid w:val="007D61B3"/>
    <w:rsid w:val="00821586"/>
    <w:rsid w:val="00843880"/>
    <w:rsid w:val="00844A78"/>
    <w:rsid w:val="00857B7C"/>
    <w:rsid w:val="00857DE2"/>
    <w:rsid w:val="00872072"/>
    <w:rsid w:val="008723F8"/>
    <w:rsid w:val="00894110"/>
    <w:rsid w:val="008B1F08"/>
    <w:rsid w:val="008D14CD"/>
    <w:rsid w:val="008E584A"/>
    <w:rsid w:val="008E6D76"/>
    <w:rsid w:val="008F3B54"/>
    <w:rsid w:val="009230C4"/>
    <w:rsid w:val="00947459"/>
    <w:rsid w:val="00953BCA"/>
    <w:rsid w:val="00953FD6"/>
    <w:rsid w:val="0096752C"/>
    <w:rsid w:val="009C51A3"/>
    <w:rsid w:val="009C72F0"/>
    <w:rsid w:val="009D6CB5"/>
    <w:rsid w:val="009E392B"/>
    <w:rsid w:val="00A20986"/>
    <w:rsid w:val="00A85AAD"/>
    <w:rsid w:val="00AB1978"/>
    <w:rsid w:val="00AC4985"/>
    <w:rsid w:val="00AD4713"/>
    <w:rsid w:val="00B047B3"/>
    <w:rsid w:val="00B13C58"/>
    <w:rsid w:val="00B16BB2"/>
    <w:rsid w:val="00B4376B"/>
    <w:rsid w:val="00B5763F"/>
    <w:rsid w:val="00B605BB"/>
    <w:rsid w:val="00B60DB1"/>
    <w:rsid w:val="00B67289"/>
    <w:rsid w:val="00B779A4"/>
    <w:rsid w:val="00BB516F"/>
    <w:rsid w:val="00C14AFE"/>
    <w:rsid w:val="00C171D1"/>
    <w:rsid w:val="00C21F20"/>
    <w:rsid w:val="00C27881"/>
    <w:rsid w:val="00C53EC1"/>
    <w:rsid w:val="00C60953"/>
    <w:rsid w:val="00C648E0"/>
    <w:rsid w:val="00C816B0"/>
    <w:rsid w:val="00C95832"/>
    <w:rsid w:val="00CA66B4"/>
    <w:rsid w:val="00CB0C89"/>
    <w:rsid w:val="00CF1430"/>
    <w:rsid w:val="00D33DCA"/>
    <w:rsid w:val="00D36C0B"/>
    <w:rsid w:val="00D405BD"/>
    <w:rsid w:val="00D43A8F"/>
    <w:rsid w:val="00D61BF4"/>
    <w:rsid w:val="00D63FE6"/>
    <w:rsid w:val="00D93C1A"/>
    <w:rsid w:val="00D96450"/>
    <w:rsid w:val="00DA073E"/>
    <w:rsid w:val="00DE73C1"/>
    <w:rsid w:val="00DF6D30"/>
    <w:rsid w:val="00E63C2C"/>
    <w:rsid w:val="00E65600"/>
    <w:rsid w:val="00E707D0"/>
    <w:rsid w:val="00E72FD9"/>
    <w:rsid w:val="00EA732E"/>
    <w:rsid w:val="00EE6EE6"/>
    <w:rsid w:val="00EF6FD4"/>
    <w:rsid w:val="00EF7028"/>
    <w:rsid w:val="00F122FA"/>
    <w:rsid w:val="00F3177C"/>
    <w:rsid w:val="00F67CBE"/>
    <w:rsid w:val="00F96E04"/>
    <w:rsid w:val="00FB01CA"/>
    <w:rsid w:val="00FC19A2"/>
    <w:rsid w:val="00FD3839"/>
    <w:rsid w:val="00FF3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B6CF"/>
  <w15:docId w15:val="{803FFE22-71A0-4780-9453-AF07D905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55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erwszyakapit">
    <w:name w:val="Pierwszy akapit"/>
    <w:basedOn w:val="Normalny"/>
    <w:next w:val="Normalny"/>
    <w:autoRedefine/>
    <w:rsid w:val="001F55A8"/>
    <w:pPr>
      <w:spacing w:after="0" w:line="276" w:lineRule="auto"/>
      <w:ind w:right="-79"/>
      <w:contextualSpacing/>
      <w:jc w:val="both"/>
    </w:pPr>
    <w:rPr>
      <w:rFonts w:asciiTheme="majorHAnsi" w:eastAsiaTheme="minorEastAsia" w:hAnsiTheme="majorHAnsi" w:cstheme="majorHAnsi"/>
      <w:b/>
    </w:rPr>
  </w:style>
  <w:style w:type="character" w:styleId="Odwoaniedokomentarza">
    <w:name w:val="annotation reference"/>
    <w:basedOn w:val="Domylnaczcionkaakapitu"/>
    <w:uiPriority w:val="99"/>
    <w:semiHidden/>
    <w:unhideWhenUsed/>
    <w:rsid w:val="0039467C"/>
    <w:rPr>
      <w:sz w:val="16"/>
      <w:szCs w:val="16"/>
    </w:rPr>
  </w:style>
  <w:style w:type="paragraph" w:styleId="Tekstkomentarza">
    <w:name w:val="annotation text"/>
    <w:basedOn w:val="Normalny"/>
    <w:link w:val="TekstkomentarzaZnak"/>
    <w:uiPriority w:val="99"/>
    <w:semiHidden/>
    <w:unhideWhenUsed/>
    <w:rsid w:val="0039467C"/>
    <w:pPr>
      <w:spacing w:line="240" w:lineRule="auto"/>
    </w:pPr>
    <w:rPr>
      <w:color w:val="1A1A18"/>
      <w:sz w:val="20"/>
      <w:szCs w:val="20"/>
    </w:rPr>
  </w:style>
  <w:style w:type="character" w:customStyle="1" w:styleId="TekstkomentarzaZnak">
    <w:name w:val="Tekst komentarza Znak"/>
    <w:basedOn w:val="Domylnaczcionkaakapitu"/>
    <w:link w:val="Tekstkomentarza"/>
    <w:uiPriority w:val="99"/>
    <w:semiHidden/>
    <w:rsid w:val="0039467C"/>
    <w:rPr>
      <w:color w:val="1A1A18"/>
      <w:sz w:val="20"/>
      <w:szCs w:val="20"/>
    </w:rPr>
  </w:style>
  <w:style w:type="paragraph" w:styleId="Tekstdymka">
    <w:name w:val="Balloon Text"/>
    <w:basedOn w:val="Normalny"/>
    <w:link w:val="TekstdymkaZnak"/>
    <w:uiPriority w:val="99"/>
    <w:semiHidden/>
    <w:unhideWhenUsed/>
    <w:rsid w:val="00394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67C"/>
    <w:rPr>
      <w:rFonts w:ascii="Segoe UI" w:hAnsi="Segoe UI" w:cs="Segoe UI"/>
      <w:sz w:val="18"/>
      <w:szCs w:val="18"/>
    </w:rPr>
  </w:style>
  <w:style w:type="character" w:customStyle="1" w:styleId="Kursywa">
    <w:name w:val="Kursywa"/>
    <w:basedOn w:val="Domylnaczcionkaakapitu"/>
    <w:uiPriority w:val="1"/>
    <w:qFormat/>
    <w:rsid w:val="0039467C"/>
    <w:rPr>
      <w:i/>
      <w:color w:val="FF0000"/>
    </w:rPr>
  </w:style>
  <w:style w:type="paragraph" w:customStyle="1" w:styleId="Tyt4">
    <w:name w:val="Tyt_4"/>
    <w:qFormat/>
    <w:rsid w:val="0039467C"/>
    <w:pPr>
      <w:spacing w:before="240" w:after="0" w:line="360" w:lineRule="auto"/>
    </w:pPr>
    <w:rPr>
      <w:color w:val="BF8F00" w:themeColor="accent4" w:themeShade="BF"/>
      <w:sz w:val="24"/>
    </w:rPr>
  </w:style>
  <w:style w:type="paragraph" w:customStyle="1" w:styleId="Wnioski">
    <w:name w:val="Wnioski"/>
    <w:basedOn w:val="Normalny"/>
    <w:qFormat/>
    <w:rsid w:val="004106E4"/>
    <w:pPr>
      <w:spacing w:after="360" w:line="240" w:lineRule="auto"/>
      <w:contextualSpacing/>
    </w:pPr>
    <w:rPr>
      <w:b/>
      <w:color w:val="ED7D31" w:themeColor="accent2"/>
      <w:sz w:val="24"/>
    </w:rPr>
  </w:style>
  <w:style w:type="paragraph" w:styleId="Akapitzlist">
    <w:name w:val="List Paragraph"/>
    <w:basedOn w:val="Normalny"/>
    <w:uiPriority w:val="34"/>
    <w:qFormat/>
    <w:rsid w:val="004106E4"/>
    <w:pPr>
      <w:ind w:left="720"/>
      <w:contextualSpacing/>
    </w:pPr>
  </w:style>
  <w:style w:type="paragraph" w:customStyle="1" w:styleId="Tekstgwny">
    <w:name w:val="Tekst główny"/>
    <w:basedOn w:val="Normalny"/>
    <w:autoRedefine/>
    <w:qFormat/>
    <w:rsid w:val="00335105"/>
    <w:pPr>
      <w:spacing w:after="0" w:line="276" w:lineRule="auto"/>
      <w:contextualSpacing/>
      <w:jc w:val="both"/>
    </w:pPr>
    <w:rPr>
      <w:rFonts w:ascii="Times New Roman" w:eastAsiaTheme="minorEastAsia" w:hAnsi="Times New Roman" w:cs="Times New Roman"/>
      <w:b/>
      <w:color w:val="171717" w:themeColor="background2" w:themeShade="1A"/>
      <w:sz w:val="24"/>
      <w:szCs w:val="24"/>
    </w:rPr>
  </w:style>
  <w:style w:type="paragraph" w:customStyle="1" w:styleId="Lista-">
    <w:name w:val="Lista (-)"/>
    <w:basedOn w:val="Akapitzlist"/>
    <w:qFormat/>
    <w:rsid w:val="001F55A8"/>
    <w:pPr>
      <w:numPr>
        <w:numId w:val="2"/>
      </w:numPr>
      <w:spacing w:after="0" w:line="360" w:lineRule="auto"/>
      <w:jc w:val="both"/>
    </w:pPr>
    <w:rPr>
      <w:rFonts w:ascii="Times New Roman" w:eastAsiaTheme="minorEastAsia" w:hAnsi="Times New Roman" w:cs="Times New Roman"/>
      <w:color w:val="0D0D0D" w:themeColor="text1" w:themeTint="F2"/>
      <w:sz w:val="24"/>
      <w:szCs w:val="24"/>
    </w:rPr>
  </w:style>
  <w:style w:type="paragraph" w:styleId="Spistreci3">
    <w:name w:val="toc 3"/>
    <w:basedOn w:val="Normalny"/>
    <w:next w:val="Normalny"/>
    <w:autoRedefine/>
    <w:uiPriority w:val="39"/>
    <w:unhideWhenUsed/>
    <w:rsid w:val="00D61BF4"/>
    <w:pPr>
      <w:tabs>
        <w:tab w:val="right" w:leader="dot" w:pos="9061"/>
      </w:tabs>
      <w:spacing w:after="100" w:line="276" w:lineRule="auto"/>
      <w:ind w:left="440"/>
      <w:jc w:val="both"/>
    </w:pPr>
    <w:rPr>
      <w:rFonts w:ascii="Karmina-Regular" w:hAnsi="Karmina-Regular"/>
      <w:color w:val="1A1A18"/>
    </w:rPr>
  </w:style>
  <w:style w:type="paragraph" w:styleId="Spistreci4">
    <w:name w:val="toc 4"/>
    <w:basedOn w:val="Normalny"/>
    <w:next w:val="Normalny"/>
    <w:autoRedefine/>
    <w:uiPriority w:val="39"/>
    <w:unhideWhenUsed/>
    <w:rsid w:val="00D61BF4"/>
    <w:pPr>
      <w:spacing w:after="100"/>
      <w:ind w:left="660"/>
    </w:pPr>
    <w:rPr>
      <w:rFonts w:eastAsiaTheme="minorEastAsia"/>
      <w:lang w:eastAsia="pl-PL"/>
    </w:rPr>
  </w:style>
  <w:style w:type="character" w:styleId="Pogrubienie">
    <w:name w:val="Strong"/>
    <w:basedOn w:val="Domylnaczcionkaakapitu"/>
    <w:uiPriority w:val="22"/>
    <w:qFormat/>
    <w:rsid w:val="009230C4"/>
    <w:rPr>
      <w:b/>
      <w:bCs/>
    </w:rPr>
  </w:style>
  <w:style w:type="table" w:styleId="Siatkatabeli">
    <w:name w:val="Table Grid"/>
    <w:basedOn w:val="Standardowy"/>
    <w:uiPriority w:val="59"/>
    <w:rsid w:val="0092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3B3ED5"/>
    <w:rPr>
      <w:rFonts w:ascii="Karmina-Regular" w:hAnsi="Karmina-Regular" w:hint="default"/>
      <w:b w:val="0"/>
      <w:bCs w:val="0"/>
      <w:i w:val="0"/>
      <w:iCs w:val="0"/>
      <w:color w:val="FFFFFF"/>
      <w:sz w:val="18"/>
      <w:szCs w:val="18"/>
    </w:rPr>
  </w:style>
  <w:style w:type="paragraph" w:styleId="Nagwek">
    <w:name w:val="header"/>
    <w:basedOn w:val="Normalny"/>
    <w:link w:val="NagwekZnak"/>
    <w:uiPriority w:val="99"/>
    <w:unhideWhenUsed/>
    <w:rsid w:val="00B57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63F"/>
  </w:style>
  <w:style w:type="paragraph" w:styleId="Stopka">
    <w:name w:val="footer"/>
    <w:basedOn w:val="Normalny"/>
    <w:link w:val="StopkaZnak"/>
    <w:uiPriority w:val="99"/>
    <w:unhideWhenUsed/>
    <w:rsid w:val="00B576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63F"/>
  </w:style>
  <w:style w:type="character" w:customStyle="1" w:styleId="fontstyle21">
    <w:name w:val="fontstyle21"/>
    <w:basedOn w:val="Domylnaczcionkaakapitu"/>
    <w:rsid w:val="00554C36"/>
    <w:rPr>
      <w:rFonts w:ascii="Karmina-Bold" w:hAnsi="Karmina-Bold" w:hint="default"/>
      <w:b/>
      <w:bCs/>
      <w:i w:val="0"/>
      <w:iCs w:val="0"/>
      <w:color w:val="1A1A18"/>
      <w:sz w:val="18"/>
      <w:szCs w:val="18"/>
    </w:rPr>
  </w:style>
  <w:style w:type="character" w:customStyle="1" w:styleId="fontstyle31">
    <w:name w:val="fontstyle31"/>
    <w:basedOn w:val="Domylnaczcionkaakapitu"/>
    <w:rsid w:val="00554C36"/>
    <w:rPr>
      <w:rFonts w:ascii="Dosis-Bold" w:hAnsi="Dosis-Bold" w:hint="default"/>
      <w:b/>
      <w:bCs/>
      <w:i w:val="0"/>
      <w:iCs w:val="0"/>
      <w:color w:val="D2C848"/>
      <w:sz w:val="16"/>
      <w:szCs w:val="16"/>
    </w:rPr>
  </w:style>
  <w:style w:type="character" w:customStyle="1" w:styleId="fontstyle41">
    <w:name w:val="fontstyle41"/>
    <w:basedOn w:val="Domylnaczcionkaakapitu"/>
    <w:rsid w:val="00554C36"/>
    <w:rPr>
      <w:rFonts w:ascii="Dosis-Medium" w:hAnsi="Dosis-Medium" w:hint="default"/>
      <w:b w:val="0"/>
      <w:bCs w:val="0"/>
      <w:i w:val="0"/>
      <w:iCs w:val="0"/>
      <w:color w:val="D2C8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51507">
      <w:bodyDiv w:val="1"/>
      <w:marLeft w:val="0"/>
      <w:marRight w:val="0"/>
      <w:marTop w:val="0"/>
      <w:marBottom w:val="0"/>
      <w:divBdr>
        <w:top w:val="none" w:sz="0" w:space="0" w:color="auto"/>
        <w:left w:val="none" w:sz="0" w:space="0" w:color="auto"/>
        <w:bottom w:val="none" w:sz="0" w:space="0" w:color="auto"/>
        <w:right w:val="none" w:sz="0" w:space="0" w:color="auto"/>
      </w:divBdr>
    </w:div>
    <w:div w:id="21451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6076-8C20-4AEA-8CED-C152E1EE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1430</Words>
  <Characters>8584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Salata</dc:creator>
  <cp:keywords/>
  <dc:description/>
  <cp:lastModifiedBy>Piotr Salata</cp:lastModifiedBy>
  <cp:revision>9</cp:revision>
  <dcterms:created xsi:type="dcterms:W3CDTF">2017-11-28T14:12:00Z</dcterms:created>
  <dcterms:modified xsi:type="dcterms:W3CDTF">2017-12-05T09:33:00Z</dcterms:modified>
</cp:coreProperties>
</file>