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B3EE0" w14:textId="77777777" w:rsidR="00910D0A" w:rsidRDefault="00910D0A" w:rsidP="00910D0A">
      <w:pPr>
        <w:spacing w:after="0" w:line="240" w:lineRule="auto"/>
        <w:jc w:val="center"/>
        <w:rPr>
          <w:rFonts w:asciiTheme="majorHAnsi" w:hAnsiTheme="majorHAnsi" w:cstheme="majorHAnsi"/>
          <w:b/>
          <w:bCs/>
          <w:color w:val="ED7D31" w:themeColor="accent2"/>
          <w:sz w:val="30"/>
          <w:szCs w:val="30"/>
        </w:rPr>
      </w:pPr>
      <w:r w:rsidRPr="00910D0A">
        <w:rPr>
          <w:rFonts w:asciiTheme="majorHAnsi" w:hAnsiTheme="majorHAnsi" w:cstheme="majorHAnsi"/>
          <w:b/>
          <w:bCs/>
          <w:color w:val="ED7D31" w:themeColor="accent2"/>
        </w:rPr>
        <w:t xml:space="preserve"> </w:t>
      </w:r>
      <w:r w:rsidRPr="00910D0A">
        <w:rPr>
          <w:rFonts w:asciiTheme="majorHAnsi" w:hAnsiTheme="majorHAnsi" w:cstheme="majorHAnsi"/>
          <w:b/>
          <w:bCs/>
          <w:color w:val="ED7D31" w:themeColor="accent2"/>
          <w:sz w:val="30"/>
          <w:szCs w:val="30"/>
        </w:rPr>
        <w:t xml:space="preserve">WYZWANIA I REKOMENDACJE </w:t>
      </w:r>
    </w:p>
    <w:p w14:paraId="4A0B80BE" w14:textId="0683A7DB" w:rsidR="00910D0A" w:rsidRPr="00910D0A" w:rsidRDefault="00910D0A" w:rsidP="00910D0A">
      <w:pPr>
        <w:spacing w:after="0" w:line="240" w:lineRule="auto"/>
        <w:jc w:val="center"/>
        <w:rPr>
          <w:rFonts w:asciiTheme="majorHAnsi" w:eastAsia="Times New Roman" w:hAnsiTheme="majorHAnsi" w:cstheme="majorHAnsi"/>
          <w:b/>
          <w:color w:val="ED7D31" w:themeColor="accent2"/>
          <w:kern w:val="36"/>
          <w:sz w:val="30"/>
          <w:szCs w:val="30"/>
          <w:lang w:eastAsia="pl-PL"/>
        </w:rPr>
      </w:pPr>
      <w:r w:rsidRPr="00910D0A">
        <w:rPr>
          <w:rFonts w:asciiTheme="majorHAnsi" w:hAnsiTheme="majorHAnsi" w:cstheme="majorHAnsi"/>
          <w:b/>
          <w:bCs/>
          <w:color w:val="ED7D31" w:themeColor="accent2"/>
          <w:sz w:val="30"/>
          <w:szCs w:val="30"/>
        </w:rPr>
        <w:t>DLA KRAJOWEJ POLITYKI MIEJSKIEJ</w:t>
      </w:r>
      <w:r w:rsidRPr="00910D0A">
        <w:rPr>
          <w:rFonts w:asciiTheme="majorHAnsi" w:eastAsia="Times New Roman" w:hAnsiTheme="majorHAnsi" w:cstheme="majorHAnsi"/>
          <w:b/>
          <w:color w:val="ED7D31" w:themeColor="accent2"/>
          <w:kern w:val="36"/>
          <w:sz w:val="30"/>
          <w:szCs w:val="30"/>
          <w:lang w:eastAsia="pl-PL"/>
        </w:rPr>
        <w:t xml:space="preserve"> </w:t>
      </w:r>
    </w:p>
    <w:p w14:paraId="3656D470" w14:textId="1D7AAE76" w:rsidR="00910D0A" w:rsidRPr="00F2525A" w:rsidRDefault="00910D0A" w:rsidP="00910D0A">
      <w:pPr>
        <w:spacing w:after="0" w:line="240" w:lineRule="auto"/>
        <w:jc w:val="center"/>
        <w:rPr>
          <w:rFonts w:asciiTheme="majorHAnsi" w:hAnsiTheme="majorHAnsi" w:cstheme="majorHAnsi"/>
          <w:color w:val="ED7D31" w:themeColor="accent2"/>
          <w:sz w:val="24"/>
          <w:szCs w:val="24"/>
        </w:rPr>
      </w:pPr>
      <w:r w:rsidRPr="005A71C5">
        <w:rPr>
          <w:rFonts w:asciiTheme="majorHAnsi" w:eastAsia="Times New Roman" w:hAnsiTheme="majorHAnsi" w:cstheme="majorHAnsi"/>
          <w:color w:val="ED7D31"/>
          <w:kern w:val="36"/>
          <w:lang w:eastAsia="pl-PL"/>
        </w:rPr>
        <w:t xml:space="preserve">RAPORT </w:t>
      </w:r>
      <w:r w:rsidRPr="005A71C5">
        <w:rPr>
          <w:rFonts w:asciiTheme="majorHAnsi" w:hAnsiTheme="majorHAnsi" w:cstheme="majorHAnsi"/>
          <w:color w:val="ED7D31" w:themeColor="accent2"/>
          <w:vertAlign w:val="superscript"/>
        </w:rPr>
        <w:br/>
      </w:r>
      <w:r w:rsidRPr="009230C4">
        <w:rPr>
          <w:rFonts w:asciiTheme="majorHAnsi" w:hAnsiTheme="majorHAnsi" w:cstheme="majorHAnsi"/>
          <w:color w:val="ED7D31" w:themeColor="accent2"/>
          <w:vertAlign w:val="superscript"/>
        </w:rPr>
        <w:t>_____________________________________________________________________________________________________________________</w:t>
      </w:r>
    </w:p>
    <w:p w14:paraId="010F07D2" w14:textId="2EA1702C" w:rsidR="00B03197" w:rsidRPr="00910D0A" w:rsidRDefault="00B03197" w:rsidP="00910D0A">
      <w:pPr>
        <w:rPr>
          <w:rFonts w:asciiTheme="majorHAnsi" w:hAnsiTheme="majorHAnsi" w:cstheme="majorHAnsi"/>
          <w:b/>
          <w:bCs/>
        </w:rPr>
      </w:pPr>
      <w:r w:rsidRPr="00910D0A">
        <w:rPr>
          <w:rFonts w:asciiTheme="majorHAnsi" w:hAnsiTheme="majorHAnsi" w:cstheme="majorHAnsi"/>
          <w:b/>
          <w:bCs/>
        </w:rPr>
        <w:t xml:space="preserve">Obserwatorium Polityki Miejskiej </w:t>
      </w:r>
      <w:proofErr w:type="spellStart"/>
      <w:r w:rsidRPr="00910D0A">
        <w:rPr>
          <w:rFonts w:asciiTheme="majorHAnsi" w:hAnsiTheme="majorHAnsi" w:cstheme="majorHAnsi"/>
          <w:b/>
          <w:bCs/>
        </w:rPr>
        <w:t>IRMiR</w:t>
      </w:r>
      <w:proofErr w:type="spellEnd"/>
      <w:r w:rsidRPr="00910D0A">
        <w:rPr>
          <w:rFonts w:asciiTheme="majorHAnsi" w:hAnsiTheme="majorHAnsi" w:cstheme="majorHAnsi"/>
          <w:b/>
          <w:bCs/>
        </w:rPr>
        <w:t xml:space="preserve"> opublikowało </w:t>
      </w:r>
      <w:r w:rsidR="00DD5E66" w:rsidRPr="00910D0A">
        <w:rPr>
          <w:rFonts w:asciiTheme="majorHAnsi" w:hAnsiTheme="majorHAnsi" w:cstheme="majorHAnsi"/>
          <w:b/>
          <w:bCs/>
        </w:rPr>
        <w:t>raport</w:t>
      </w:r>
      <w:r w:rsidRPr="00910D0A">
        <w:rPr>
          <w:rFonts w:asciiTheme="majorHAnsi" w:hAnsiTheme="majorHAnsi" w:cstheme="majorHAnsi"/>
          <w:b/>
          <w:bCs/>
        </w:rPr>
        <w:t xml:space="preserve"> ,,Wyzwania i rekomendacje dla krajowej polityki miejskiej”. Publikacja powstała w ramach prac czterech zespołów ekspertów i konsultacji z uczestnikami Kongresu polityki miejskiej w Kielcach.</w:t>
      </w:r>
    </w:p>
    <w:p w14:paraId="38ABC18E" w14:textId="7525CCAA" w:rsidR="00B03197" w:rsidRDefault="00B03197" w:rsidP="00C1690D">
      <w:pPr>
        <w:shd w:val="clear" w:color="auto" w:fill="FFFFFF"/>
        <w:spacing w:after="315" w:line="240" w:lineRule="auto"/>
        <w:jc w:val="both"/>
        <w:rPr>
          <w:rFonts w:asciiTheme="majorHAnsi" w:eastAsia="Times New Roman" w:hAnsiTheme="majorHAnsi" w:cstheme="majorHAnsi"/>
          <w:color w:val="262626"/>
          <w:sz w:val="21"/>
          <w:szCs w:val="21"/>
          <w:lang w:eastAsia="pl-PL"/>
        </w:rPr>
      </w:pPr>
      <w:r w:rsidRPr="00B03197">
        <w:rPr>
          <w:rFonts w:asciiTheme="majorHAnsi" w:eastAsia="Times New Roman" w:hAnsiTheme="majorHAnsi" w:cstheme="majorHAnsi"/>
          <w:color w:val="262626"/>
          <w:sz w:val="21"/>
          <w:szCs w:val="21"/>
          <w:lang w:eastAsia="pl-PL"/>
        </w:rPr>
        <w:t>Opracowanie zawiera podsumowanie prac czterech grup eksperckich pracujących w ramach przygotowań do Kongresu Polityki Miejskiej 2019 w Kielcach (14–15 listopada) w ramach i zgodnie z metodologią Krajowego Forum Miejskiego (UN-Habitat 2020). </w:t>
      </w:r>
      <w:r w:rsidRPr="00B03197">
        <w:rPr>
          <w:rFonts w:asciiTheme="majorHAnsi" w:eastAsia="Times New Roman" w:hAnsiTheme="majorHAnsi" w:cstheme="majorHAnsi"/>
          <w:b/>
          <w:bCs/>
          <w:color w:val="262626"/>
          <w:sz w:val="21"/>
          <w:szCs w:val="21"/>
          <w:lang w:eastAsia="pl-PL"/>
        </w:rPr>
        <w:t>W skład każdej grupy wchodziło ok. 10–15 osób reprezentujących uczelnie i instytucje badawcze, samorządy oraz organizacje pozarządowe.</w:t>
      </w:r>
      <w:r w:rsidRPr="00B03197">
        <w:rPr>
          <w:rFonts w:asciiTheme="majorHAnsi" w:eastAsia="Times New Roman" w:hAnsiTheme="majorHAnsi" w:cstheme="majorHAnsi"/>
          <w:color w:val="262626"/>
          <w:sz w:val="21"/>
          <w:szCs w:val="21"/>
          <w:lang w:eastAsia="pl-PL"/>
        </w:rPr>
        <w:t xml:space="preserve"> Dodatkowo pracom przyglądali się również przedstawiciele administracji rządowej, którzy mogli wyrażać swoje opinie względem zaprezentowanych efektów pracy grupowej. </w:t>
      </w:r>
    </w:p>
    <w:p w14:paraId="46299343" w14:textId="2918F511" w:rsidR="00D1521A" w:rsidRPr="00B03197" w:rsidRDefault="00D1521A" w:rsidP="00C1690D">
      <w:pPr>
        <w:shd w:val="clear" w:color="auto" w:fill="FFFFFF"/>
        <w:spacing w:after="315" w:line="240" w:lineRule="auto"/>
        <w:jc w:val="both"/>
        <w:rPr>
          <w:rFonts w:asciiTheme="majorHAnsi" w:eastAsia="Times New Roman" w:hAnsiTheme="majorHAnsi" w:cstheme="majorHAnsi"/>
          <w:b/>
          <w:bCs/>
          <w:color w:val="ED7D31" w:themeColor="accent2"/>
          <w:lang w:eastAsia="pl-PL"/>
        </w:rPr>
      </w:pPr>
      <w:r w:rsidRPr="00D1521A">
        <w:rPr>
          <w:rFonts w:asciiTheme="majorHAnsi" w:eastAsia="Times New Roman" w:hAnsiTheme="majorHAnsi" w:cstheme="majorHAnsi"/>
          <w:b/>
          <w:bCs/>
          <w:color w:val="ED7D31" w:themeColor="accent2"/>
          <w:lang w:eastAsia="pl-PL"/>
        </w:rPr>
        <w:t xml:space="preserve">STRUKTURA </w:t>
      </w:r>
    </w:p>
    <w:p w14:paraId="526D5C7C" w14:textId="77777777" w:rsidR="00B03197" w:rsidRPr="00B03197" w:rsidRDefault="00B03197" w:rsidP="00C1690D">
      <w:pPr>
        <w:shd w:val="clear" w:color="auto" w:fill="FFFFFF"/>
        <w:spacing w:after="315" w:line="240" w:lineRule="auto"/>
        <w:jc w:val="both"/>
        <w:rPr>
          <w:rFonts w:asciiTheme="majorHAnsi" w:eastAsia="Times New Roman" w:hAnsiTheme="majorHAnsi" w:cstheme="majorHAnsi"/>
          <w:color w:val="262626"/>
          <w:sz w:val="21"/>
          <w:szCs w:val="21"/>
          <w:lang w:eastAsia="pl-PL"/>
        </w:rPr>
      </w:pPr>
      <w:r w:rsidRPr="00B03197">
        <w:rPr>
          <w:rFonts w:asciiTheme="majorHAnsi" w:eastAsia="Times New Roman" w:hAnsiTheme="majorHAnsi" w:cstheme="majorHAnsi"/>
          <w:color w:val="262626"/>
          <w:sz w:val="21"/>
          <w:szCs w:val="21"/>
          <w:lang w:eastAsia="pl-PL"/>
        </w:rPr>
        <w:t>Raport składa się z czterech zasadniczych części poprzedzonych syntezującym wprowadzeniem. Poszczególne części raportu odpowiadają wybranym do dyskusji w ramach Krajowego Kongresu Polityki Miejskiej 2019 obszarom tematycznym: kształtowaniu przestrzeni, transportowi i mobilności, mieszkalnictwu oraz środowisku i adaptacji do zmian klimatu.</w:t>
      </w:r>
    </w:p>
    <w:p w14:paraId="76795EDD" w14:textId="311C5B70" w:rsidR="007817AF" w:rsidRPr="00C1690D" w:rsidRDefault="00C1690D" w:rsidP="00C1690D">
      <w:pPr>
        <w:jc w:val="both"/>
        <w:rPr>
          <w:rFonts w:asciiTheme="majorHAnsi" w:hAnsiTheme="majorHAnsi" w:cstheme="majorHAnsi"/>
          <w:b/>
          <w:bCs/>
          <w:color w:val="ED7D31" w:themeColor="accent2"/>
        </w:rPr>
      </w:pPr>
      <w:r w:rsidRPr="00C1690D">
        <w:rPr>
          <w:rFonts w:asciiTheme="majorHAnsi" w:hAnsiTheme="majorHAnsi" w:cstheme="majorHAnsi"/>
          <w:b/>
          <w:bCs/>
          <w:color w:val="ED7D31" w:themeColor="accent2"/>
        </w:rPr>
        <w:t xml:space="preserve">PRZESTRZEŃ </w:t>
      </w:r>
    </w:p>
    <w:p w14:paraId="399EEF1F" w14:textId="1EA7C797" w:rsidR="00437D14" w:rsidRPr="00D1521A" w:rsidRDefault="00C64D66" w:rsidP="00C1690D">
      <w:pPr>
        <w:jc w:val="both"/>
        <w:rPr>
          <w:rFonts w:asciiTheme="majorHAnsi" w:hAnsiTheme="majorHAnsi" w:cstheme="majorHAnsi"/>
          <w:sz w:val="21"/>
          <w:szCs w:val="21"/>
        </w:rPr>
      </w:pPr>
      <w:r w:rsidRPr="00D1521A">
        <w:rPr>
          <w:rFonts w:asciiTheme="majorHAnsi" w:hAnsiTheme="majorHAnsi" w:cstheme="majorHAnsi"/>
          <w:sz w:val="21"/>
          <w:szCs w:val="21"/>
        </w:rPr>
        <w:t xml:space="preserve">Wśród </w:t>
      </w:r>
      <w:r w:rsidR="00CB3E05" w:rsidRPr="00D1521A">
        <w:rPr>
          <w:rFonts w:asciiTheme="majorHAnsi" w:hAnsiTheme="majorHAnsi" w:cstheme="majorHAnsi"/>
          <w:sz w:val="21"/>
          <w:szCs w:val="21"/>
        </w:rPr>
        <w:t xml:space="preserve">najważniejszych wyzwań dotyczących kształtowania przestrzeni eksperci wymienili między inny </w:t>
      </w:r>
      <w:proofErr w:type="spellStart"/>
      <w:r w:rsidR="00CB3E05" w:rsidRPr="00D1521A">
        <w:rPr>
          <w:rFonts w:asciiTheme="majorHAnsi" w:hAnsiTheme="majorHAnsi" w:cstheme="majorHAnsi"/>
          <w:sz w:val="21"/>
          <w:szCs w:val="21"/>
        </w:rPr>
        <w:t>suburbanizację</w:t>
      </w:r>
      <w:proofErr w:type="spellEnd"/>
      <w:r w:rsidR="00CB3E05" w:rsidRPr="00D1521A">
        <w:rPr>
          <w:rFonts w:asciiTheme="majorHAnsi" w:hAnsiTheme="majorHAnsi" w:cstheme="majorHAnsi"/>
          <w:sz w:val="21"/>
          <w:szCs w:val="21"/>
        </w:rPr>
        <w:t xml:space="preserve">, </w:t>
      </w:r>
      <w:r w:rsidR="009A407D" w:rsidRPr="00D1521A">
        <w:rPr>
          <w:rFonts w:asciiTheme="majorHAnsi" w:hAnsiTheme="majorHAnsi" w:cstheme="majorHAnsi"/>
          <w:sz w:val="21"/>
          <w:szCs w:val="21"/>
        </w:rPr>
        <w:t>czyli rozlewanie się miast, co</w:t>
      </w:r>
      <w:r w:rsidR="00CB3E05" w:rsidRPr="00D1521A">
        <w:rPr>
          <w:rFonts w:asciiTheme="majorHAnsi" w:hAnsiTheme="majorHAnsi" w:cstheme="majorHAnsi"/>
          <w:sz w:val="21"/>
          <w:szCs w:val="21"/>
        </w:rPr>
        <w:t xml:space="preserve">, jak podkreślają, </w:t>
      </w:r>
      <w:r w:rsidR="00AD7588" w:rsidRPr="00D1521A">
        <w:rPr>
          <w:rFonts w:asciiTheme="majorHAnsi" w:hAnsiTheme="majorHAnsi" w:cstheme="majorHAnsi"/>
          <w:sz w:val="21"/>
          <w:szCs w:val="21"/>
        </w:rPr>
        <w:t xml:space="preserve">w Polsce </w:t>
      </w:r>
      <w:r w:rsidR="00CB3E05" w:rsidRPr="00D1521A">
        <w:rPr>
          <w:rFonts w:asciiTheme="majorHAnsi" w:hAnsiTheme="majorHAnsi" w:cstheme="majorHAnsi"/>
          <w:sz w:val="21"/>
          <w:szCs w:val="21"/>
        </w:rPr>
        <w:t xml:space="preserve">dotyczy nie tylko </w:t>
      </w:r>
      <w:r w:rsidR="00AD7588" w:rsidRPr="00D1521A">
        <w:rPr>
          <w:rFonts w:asciiTheme="majorHAnsi" w:hAnsiTheme="majorHAnsi" w:cstheme="majorHAnsi"/>
          <w:sz w:val="21"/>
          <w:szCs w:val="21"/>
        </w:rPr>
        <w:t>największych miast i ich obszarów funkcjonalnyc</w:t>
      </w:r>
      <w:r w:rsidR="00CB3E05" w:rsidRPr="00D1521A">
        <w:rPr>
          <w:rFonts w:asciiTheme="majorHAnsi" w:hAnsiTheme="majorHAnsi" w:cstheme="majorHAnsi"/>
          <w:sz w:val="21"/>
          <w:szCs w:val="21"/>
        </w:rPr>
        <w:t xml:space="preserve">h, ale </w:t>
      </w:r>
      <w:r w:rsidR="00AD7588" w:rsidRPr="00D1521A">
        <w:rPr>
          <w:rFonts w:asciiTheme="majorHAnsi" w:hAnsiTheme="majorHAnsi" w:cstheme="majorHAnsi"/>
          <w:sz w:val="21"/>
          <w:szCs w:val="21"/>
        </w:rPr>
        <w:t>zachodzi ona również w otoczeniu miast średnich i małych.</w:t>
      </w:r>
      <w:r w:rsidR="00437D14" w:rsidRPr="00D1521A">
        <w:rPr>
          <w:rFonts w:asciiTheme="majorHAnsi" w:hAnsiTheme="majorHAnsi" w:cstheme="majorHAnsi"/>
          <w:sz w:val="21"/>
          <w:szCs w:val="21"/>
        </w:rPr>
        <w:t xml:space="preserve"> </w:t>
      </w:r>
      <w:r w:rsidR="00CB3E05" w:rsidRPr="00D1521A">
        <w:rPr>
          <w:rFonts w:asciiTheme="majorHAnsi" w:hAnsiTheme="majorHAnsi" w:cstheme="majorHAnsi"/>
          <w:sz w:val="21"/>
          <w:szCs w:val="21"/>
        </w:rPr>
        <w:t>Według</w:t>
      </w:r>
      <w:r w:rsidR="000A7EED" w:rsidRPr="00D1521A">
        <w:rPr>
          <w:rFonts w:asciiTheme="majorHAnsi" w:hAnsiTheme="majorHAnsi" w:cstheme="majorHAnsi"/>
          <w:sz w:val="21"/>
          <w:szCs w:val="21"/>
        </w:rPr>
        <w:t xml:space="preserve"> badań Instytutu Rozwoju Miast i Regionów intensywne procesy </w:t>
      </w:r>
      <w:proofErr w:type="spellStart"/>
      <w:r w:rsidR="000A7EED" w:rsidRPr="00D1521A">
        <w:rPr>
          <w:rFonts w:asciiTheme="majorHAnsi" w:hAnsiTheme="majorHAnsi" w:cstheme="majorHAnsi"/>
          <w:sz w:val="21"/>
          <w:szCs w:val="21"/>
        </w:rPr>
        <w:t>suburbanizacji</w:t>
      </w:r>
      <w:proofErr w:type="spellEnd"/>
      <w:r w:rsidR="000A7EED" w:rsidRPr="00D1521A">
        <w:rPr>
          <w:rFonts w:asciiTheme="majorHAnsi" w:hAnsiTheme="majorHAnsi" w:cstheme="majorHAnsi"/>
          <w:sz w:val="21"/>
          <w:szCs w:val="21"/>
        </w:rPr>
        <w:t xml:space="preserve"> demograficznej dotyczą 846 polskich gmin</w:t>
      </w:r>
      <w:r w:rsidR="00437D14" w:rsidRPr="00D1521A">
        <w:rPr>
          <w:rFonts w:asciiTheme="majorHAnsi" w:hAnsiTheme="majorHAnsi" w:cstheme="majorHAnsi"/>
          <w:sz w:val="21"/>
          <w:szCs w:val="21"/>
        </w:rPr>
        <w:t xml:space="preserve">. </w:t>
      </w:r>
    </w:p>
    <w:p w14:paraId="4790612B" w14:textId="05AABC0B" w:rsidR="000A7EED" w:rsidRPr="00D1521A" w:rsidRDefault="009A407D" w:rsidP="00C1690D">
      <w:pPr>
        <w:jc w:val="both"/>
        <w:rPr>
          <w:rFonts w:asciiTheme="majorHAnsi" w:hAnsiTheme="majorHAnsi" w:cstheme="majorHAnsi"/>
          <w:sz w:val="21"/>
          <w:szCs w:val="21"/>
        </w:rPr>
      </w:pPr>
      <w:r w:rsidRPr="00D1521A">
        <w:rPr>
          <w:rFonts w:asciiTheme="majorHAnsi" w:hAnsiTheme="majorHAnsi" w:cstheme="majorHAnsi"/>
          <w:sz w:val="21"/>
          <w:szCs w:val="21"/>
        </w:rPr>
        <w:t>Eksperci rekomendują w</w:t>
      </w:r>
      <w:r w:rsidR="00437D14" w:rsidRPr="00D1521A">
        <w:rPr>
          <w:rFonts w:asciiTheme="majorHAnsi" w:hAnsiTheme="majorHAnsi" w:cstheme="majorHAnsi"/>
          <w:sz w:val="21"/>
          <w:szCs w:val="21"/>
        </w:rPr>
        <w:t>prowadzenie mechanizmów</w:t>
      </w:r>
      <w:r w:rsidRPr="00D1521A">
        <w:rPr>
          <w:rFonts w:asciiTheme="majorHAnsi" w:hAnsiTheme="majorHAnsi" w:cstheme="majorHAnsi"/>
          <w:sz w:val="21"/>
          <w:szCs w:val="21"/>
        </w:rPr>
        <w:t xml:space="preserve">, </w:t>
      </w:r>
      <w:r w:rsidR="00437D14" w:rsidRPr="00D1521A">
        <w:rPr>
          <w:rFonts w:asciiTheme="majorHAnsi" w:hAnsiTheme="majorHAnsi" w:cstheme="majorHAnsi"/>
          <w:sz w:val="21"/>
          <w:szCs w:val="21"/>
        </w:rPr>
        <w:t xml:space="preserve">w których środki publiczne, w tym środki europejskie, nie będą wspierać procesów żywiołowej </w:t>
      </w:r>
      <w:proofErr w:type="spellStart"/>
      <w:r w:rsidR="00437D14" w:rsidRPr="00D1521A">
        <w:rPr>
          <w:rFonts w:asciiTheme="majorHAnsi" w:hAnsiTheme="majorHAnsi" w:cstheme="majorHAnsi"/>
          <w:sz w:val="21"/>
          <w:szCs w:val="21"/>
        </w:rPr>
        <w:t>suburbanizacji</w:t>
      </w:r>
      <w:proofErr w:type="spellEnd"/>
      <w:r w:rsidR="00437D14" w:rsidRPr="00D1521A">
        <w:rPr>
          <w:rFonts w:asciiTheme="majorHAnsi" w:hAnsiTheme="majorHAnsi" w:cstheme="majorHAnsi"/>
          <w:sz w:val="21"/>
          <w:szCs w:val="21"/>
        </w:rPr>
        <w:t xml:space="preserve">. </w:t>
      </w:r>
      <w:r w:rsidRPr="00D1521A">
        <w:rPr>
          <w:rFonts w:asciiTheme="majorHAnsi" w:hAnsiTheme="majorHAnsi" w:cstheme="majorHAnsi"/>
          <w:b/>
          <w:bCs/>
          <w:sz w:val="21"/>
          <w:szCs w:val="21"/>
        </w:rPr>
        <w:t xml:space="preserve">Postulowane jest również </w:t>
      </w:r>
      <w:r w:rsidR="00A230AD" w:rsidRPr="00D1521A">
        <w:rPr>
          <w:rFonts w:asciiTheme="majorHAnsi" w:hAnsiTheme="majorHAnsi" w:cstheme="majorHAnsi"/>
          <w:b/>
          <w:bCs/>
          <w:sz w:val="21"/>
          <w:szCs w:val="21"/>
        </w:rPr>
        <w:t xml:space="preserve">wdrożenie do praktyki planowania przestrzennego zasady pierwszeństwa (prymatu) wykorzystania terenów uprzednio zainwestowanych (tj. </w:t>
      </w:r>
      <w:proofErr w:type="spellStart"/>
      <w:r w:rsidR="00A230AD" w:rsidRPr="00D1521A">
        <w:rPr>
          <w:rFonts w:asciiTheme="majorHAnsi" w:hAnsiTheme="majorHAnsi" w:cstheme="majorHAnsi"/>
          <w:b/>
          <w:bCs/>
          <w:i/>
          <w:iCs/>
          <w:sz w:val="21"/>
          <w:szCs w:val="21"/>
        </w:rPr>
        <w:t>brownfield</w:t>
      </w:r>
      <w:proofErr w:type="spellEnd"/>
      <w:r w:rsidR="00A230AD" w:rsidRPr="00D1521A">
        <w:rPr>
          <w:rFonts w:asciiTheme="majorHAnsi" w:hAnsiTheme="majorHAnsi" w:cstheme="majorHAnsi"/>
          <w:b/>
          <w:bCs/>
          <w:sz w:val="21"/>
          <w:szCs w:val="21"/>
        </w:rPr>
        <w:t xml:space="preserve">) nad zabudową obszarów dotychczas niezurbanizowanych (tj. </w:t>
      </w:r>
      <w:proofErr w:type="spellStart"/>
      <w:r w:rsidR="00A230AD" w:rsidRPr="00D1521A">
        <w:rPr>
          <w:rFonts w:asciiTheme="majorHAnsi" w:hAnsiTheme="majorHAnsi" w:cstheme="majorHAnsi"/>
          <w:b/>
          <w:bCs/>
          <w:i/>
          <w:iCs/>
          <w:sz w:val="21"/>
          <w:szCs w:val="21"/>
        </w:rPr>
        <w:t>greenfield</w:t>
      </w:r>
      <w:proofErr w:type="spellEnd"/>
      <w:r w:rsidR="00A230AD" w:rsidRPr="00D1521A">
        <w:rPr>
          <w:rFonts w:asciiTheme="majorHAnsi" w:hAnsiTheme="majorHAnsi" w:cstheme="majorHAnsi"/>
          <w:b/>
          <w:bCs/>
          <w:sz w:val="21"/>
          <w:szCs w:val="21"/>
        </w:rPr>
        <w:t>)</w:t>
      </w:r>
      <w:r w:rsidR="00A230AD" w:rsidRPr="00D1521A">
        <w:rPr>
          <w:rFonts w:asciiTheme="majorHAnsi" w:hAnsiTheme="majorHAnsi" w:cstheme="majorHAnsi"/>
          <w:sz w:val="21"/>
          <w:szCs w:val="21"/>
        </w:rPr>
        <w:t xml:space="preserve">. W praktyce zasada ta powinna być wdrażania zarówno poprzez system zachęt (np. bonifikaty i ulgi dla inwestorów realizujących projekty mieszkaniowe na terenach </w:t>
      </w:r>
      <w:proofErr w:type="spellStart"/>
      <w:r w:rsidR="00A230AD" w:rsidRPr="00D1521A">
        <w:rPr>
          <w:rFonts w:asciiTheme="majorHAnsi" w:hAnsiTheme="majorHAnsi" w:cstheme="majorHAnsi"/>
          <w:i/>
          <w:iCs/>
          <w:sz w:val="21"/>
          <w:szCs w:val="21"/>
        </w:rPr>
        <w:t>brownfield</w:t>
      </w:r>
      <w:proofErr w:type="spellEnd"/>
      <w:r w:rsidR="00A230AD" w:rsidRPr="00D1521A">
        <w:rPr>
          <w:rFonts w:asciiTheme="majorHAnsi" w:hAnsiTheme="majorHAnsi" w:cstheme="majorHAnsi"/>
          <w:sz w:val="21"/>
          <w:szCs w:val="21"/>
        </w:rPr>
        <w:t xml:space="preserve"> w miastach), jak również zakazów (zwłaszcza całkowity zakaz realizacji zabudowy mieszkaniowej na terenach pozbawionych dostępu do infrastruktury drogowej oraz komunalnej). </w:t>
      </w:r>
      <w:r w:rsidR="000A7EED" w:rsidRPr="00D1521A">
        <w:rPr>
          <w:rFonts w:asciiTheme="majorHAnsi" w:hAnsiTheme="majorHAnsi" w:cstheme="majorHAnsi"/>
          <w:sz w:val="21"/>
          <w:szCs w:val="21"/>
        </w:rPr>
        <w:t xml:space="preserve"> </w:t>
      </w:r>
    </w:p>
    <w:p w14:paraId="28F43F62" w14:textId="7E0E5042" w:rsidR="00076454" w:rsidRPr="00D1521A" w:rsidRDefault="00856D9C" w:rsidP="00C1690D">
      <w:pPr>
        <w:jc w:val="both"/>
        <w:rPr>
          <w:rFonts w:asciiTheme="majorHAnsi" w:hAnsiTheme="majorHAnsi" w:cstheme="majorHAnsi"/>
          <w:sz w:val="21"/>
          <w:szCs w:val="21"/>
        </w:rPr>
      </w:pPr>
      <w:r w:rsidRPr="00D1521A">
        <w:rPr>
          <w:rFonts w:asciiTheme="majorHAnsi" w:hAnsiTheme="majorHAnsi" w:cstheme="majorHAnsi"/>
          <w:sz w:val="21"/>
          <w:szCs w:val="21"/>
        </w:rPr>
        <w:t xml:space="preserve">Innym zdiagnozowanym problemem jest brak </w:t>
      </w:r>
      <w:r w:rsidRPr="00D1521A">
        <w:rPr>
          <w:rFonts w:asciiTheme="majorHAnsi" w:hAnsiTheme="majorHAnsi" w:cstheme="majorHAnsi"/>
          <w:sz w:val="21"/>
          <w:szCs w:val="21"/>
        </w:rPr>
        <w:t>planów miejscowych lub ich niezadowalając</w:t>
      </w:r>
      <w:r w:rsidRPr="00D1521A">
        <w:rPr>
          <w:rFonts w:asciiTheme="majorHAnsi" w:hAnsiTheme="majorHAnsi" w:cstheme="majorHAnsi"/>
          <w:sz w:val="21"/>
          <w:szCs w:val="21"/>
        </w:rPr>
        <w:t>a</w:t>
      </w:r>
      <w:r w:rsidRPr="00D1521A">
        <w:rPr>
          <w:rFonts w:asciiTheme="majorHAnsi" w:hAnsiTheme="majorHAnsi" w:cstheme="majorHAnsi"/>
          <w:sz w:val="21"/>
          <w:szCs w:val="21"/>
        </w:rPr>
        <w:t xml:space="preserve"> jakoś</w:t>
      </w:r>
      <w:r w:rsidRPr="00D1521A">
        <w:rPr>
          <w:rFonts w:asciiTheme="majorHAnsi" w:hAnsiTheme="majorHAnsi" w:cstheme="majorHAnsi"/>
          <w:sz w:val="21"/>
          <w:szCs w:val="21"/>
        </w:rPr>
        <w:t xml:space="preserve">ć. W tym celu rekomenduje się </w:t>
      </w:r>
      <w:r w:rsidRPr="00D1521A">
        <w:rPr>
          <w:rFonts w:asciiTheme="majorHAnsi" w:hAnsiTheme="majorHAnsi" w:cstheme="majorHAnsi"/>
          <w:b/>
          <w:bCs/>
          <w:sz w:val="21"/>
          <w:szCs w:val="21"/>
        </w:rPr>
        <w:t>o</w:t>
      </w:r>
      <w:r w:rsidRPr="00D1521A">
        <w:rPr>
          <w:rFonts w:asciiTheme="majorHAnsi" w:hAnsiTheme="majorHAnsi" w:cstheme="majorHAnsi"/>
          <w:b/>
          <w:bCs/>
          <w:sz w:val="21"/>
          <w:szCs w:val="21"/>
        </w:rPr>
        <w:t>pracowanie i zalecenie do stosowania w gminach standardów zagospodarowania przestrzeni (z konkretnymi parametrami liczbowymi)</w:t>
      </w:r>
      <w:r w:rsidRPr="00D1521A">
        <w:rPr>
          <w:rFonts w:asciiTheme="majorHAnsi" w:hAnsiTheme="majorHAnsi" w:cstheme="majorHAnsi"/>
          <w:b/>
          <w:bCs/>
          <w:sz w:val="21"/>
          <w:szCs w:val="21"/>
        </w:rPr>
        <w:t>.</w:t>
      </w:r>
      <w:r w:rsidR="00076454" w:rsidRPr="00D1521A">
        <w:rPr>
          <w:rFonts w:asciiTheme="majorHAnsi" w:hAnsiTheme="majorHAnsi" w:cstheme="majorHAnsi"/>
          <w:sz w:val="21"/>
          <w:szCs w:val="21"/>
        </w:rPr>
        <w:t xml:space="preserve"> Oprócz tego eksperci postulują b</w:t>
      </w:r>
      <w:r w:rsidR="00076454" w:rsidRPr="00D1521A">
        <w:rPr>
          <w:rFonts w:asciiTheme="majorHAnsi" w:hAnsiTheme="majorHAnsi" w:cstheme="majorHAnsi"/>
          <w:sz w:val="21"/>
          <w:szCs w:val="21"/>
        </w:rPr>
        <w:t>udowanie kompetencji i ciągłości instytucjonalnej w gminach poprzez zachęty do tworzenia pracowni planistycznych lub promowanie mechanizmów tworzenia partnerstw</w:t>
      </w:r>
      <w:r w:rsidR="00076454" w:rsidRPr="00D1521A">
        <w:rPr>
          <w:rFonts w:asciiTheme="majorHAnsi" w:hAnsiTheme="majorHAnsi" w:cstheme="majorHAnsi"/>
          <w:sz w:val="21"/>
          <w:szCs w:val="21"/>
        </w:rPr>
        <w:t xml:space="preserve">, w ramach których </w:t>
      </w:r>
      <w:r w:rsidR="00076454" w:rsidRPr="00D1521A">
        <w:rPr>
          <w:rFonts w:asciiTheme="majorHAnsi" w:hAnsiTheme="majorHAnsi" w:cstheme="majorHAnsi"/>
          <w:sz w:val="21"/>
          <w:szCs w:val="21"/>
        </w:rPr>
        <w:t xml:space="preserve">miasto centralne </w:t>
      </w:r>
      <w:r w:rsidR="00076454" w:rsidRPr="00D1521A">
        <w:rPr>
          <w:rFonts w:asciiTheme="majorHAnsi" w:hAnsiTheme="majorHAnsi" w:cstheme="majorHAnsi"/>
          <w:sz w:val="21"/>
          <w:szCs w:val="21"/>
        </w:rPr>
        <w:t>tworzy plany dla całego obszaru aglomeracji.</w:t>
      </w:r>
    </w:p>
    <w:p w14:paraId="3A960393" w14:textId="3C2C9A5A" w:rsidR="00AE1D2F" w:rsidRPr="000355C2" w:rsidRDefault="005D0E73" w:rsidP="00C1690D">
      <w:pPr>
        <w:jc w:val="both"/>
        <w:rPr>
          <w:rFonts w:asciiTheme="majorHAnsi" w:hAnsiTheme="majorHAnsi" w:cstheme="majorHAnsi"/>
          <w:sz w:val="21"/>
          <w:szCs w:val="21"/>
        </w:rPr>
      </w:pPr>
      <w:r w:rsidRPr="00D1521A">
        <w:rPr>
          <w:rFonts w:asciiTheme="majorHAnsi" w:hAnsiTheme="majorHAnsi" w:cstheme="majorHAnsi"/>
          <w:sz w:val="21"/>
          <w:szCs w:val="21"/>
        </w:rPr>
        <w:t xml:space="preserve">W ramach prac nad raportem zwrócono uwagę, że </w:t>
      </w:r>
      <w:r w:rsidRPr="00D1521A">
        <w:rPr>
          <w:rFonts w:asciiTheme="majorHAnsi" w:hAnsiTheme="majorHAnsi" w:cstheme="majorHAnsi"/>
          <w:b/>
          <w:bCs/>
          <w:sz w:val="21"/>
          <w:szCs w:val="21"/>
        </w:rPr>
        <w:t>p</w:t>
      </w:r>
      <w:r w:rsidRPr="00D1521A">
        <w:rPr>
          <w:rFonts w:asciiTheme="majorHAnsi" w:hAnsiTheme="majorHAnsi" w:cstheme="majorHAnsi"/>
          <w:b/>
          <w:bCs/>
          <w:sz w:val="21"/>
          <w:szCs w:val="21"/>
        </w:rPr>
        <w:t>olskie przepisy, dodatkowo wzmocnione przez niezrozumiałe często orzecznictwo sądów, praktycznie nie dają możliwości nadania planowaniu przestrzennemu w gminie racjonalnego wymiaru ekonomicznego</w:t>
      </w:r>
      <w:r w:rsidRPr="00D1521A">
        <w:rPr>
          <w:rFonts w:asciiTheme="majorHAnsi" w:hAnsiTheme="majorHAnsi" w:cstheme="majorHAnsi"/>
          <w:sz w:val="21"/>
          <w:szCs w:val="21"/>
        </w:rPr>
        <w:t xml:space="preserve">. </w:t>
      </w:r>
      <w:r w:rsidRPr="00D1521A">
        <w:rPr>
          <w:rFonts w:asciiTheme="majorHAnsi" w:hAnsiTheme="majorHAnsi" w:cstheme="majorHAnsi"/>
          <w:sz w:val="21"/>
          <w:szCs w:val="21"/>
        </w:rPr>
        <w:t xml:space="preserve">Dlatego konieczne jest </w:t>
      </w:r>
      <w:r w:rsidRPr="00D1521A">
        <w:rPr>
          <w:rFonts w:asciiTheme="majorHAnsi" w:hAnsiTheme="majorHAnsi" w:cstheme="majorHAnsi"/>
          <w:sz w:val="21"/>
          <w:szCs w:val="21"/>
        </w:rPr>
        <w:t>przeciwdziałanie dysfunkcyjnym mechanizmom finansowym i ekonomicznym w planowaniu przestrzennym</w:t>
      </w:r>
      <w:r w:rsidRPr="00D1521A">
        <w:rPr>
          <w:rFonts w:asciiTheme="majorHAnsi" w:hAnsiTheme="majorHAnsi" w:cstheme="majorHAnsi"/>
          <w:sz w:val="21"/>
          <w:szCs w:val="21"/>
        </w:rPr>
        <w:t>.</w:t>
      </w:r>
      <w:r w:rsidR="00AE1D2F" w:rsidRPr="00D1521A">
        <w:rPr>
          <w:rFonts w:asciiTheme="majorHAnsi" w:hAnsiTheme="majorHAnsi" w:cstheme="majorHAnsi"/>
          <w:sz w:val="21"/>
          <w:szCs w:val="21"/>
        </w:rPr>
        <w:t xml:space="preserve"> W związku z tym problemem postulowane jest u</w:t>
      </w:r>
      <w:r w:rsidR="00AE1D2F" w:rsidRPr="00D1521A">
        <w:rPr>
          <w:rFonts w:asciiTheme="majorHAnsi" w:hAnsiTheme="majorHAnsi" w:cstheme="majorHAnsi"/>
          <w:sz w:val="21"/>
          <w:szCs w:val="21"/>
        </w:rPr>
        <w:t xml:space="preserve">niemożliwienie pozyskiwania przez właścicieli nieruchomości nadmiernych </w:t>
      </w:r>
      <w:r w:rsidR="00AE1D2F" w:rsidRPr="00D1521A">
        <w:rPr>
          <w:rFonts w:asciiTheme="majorHAnsi" w:hAnsiTheme="majorHAnsi" w:cstheme="majorHAnsi"/>
          <w:sz w:val="21"/>
          <w:szCs w:val="21"/>
        </w:rPr>
        <w:lastRenderedPageBreak/>
        <w:t>odszkodowań bez poniesienia faktycznej szkody z tytułu rozstrzygnięć planistycznych</w:t>
      </w:r>
      <w:r w:rsidR="00AE1D2F" w:rsidRPr="00D1521A">
        <w:rPr>
          <w:rFonts w:asciiTheme="majorHAnsi" w:hAnsiTheme="majorHAnsi" w:cstheme="majorHAnsi"/>
          <w:sz w:val="21"/>
          <w:szCs w:val="21"/>
        </w:rPr>
        <w:t xml:space="preserve"> oraz w</w:t>
      </w:r>
      <w:r w:rsidR="00AE1D2F" w:rsidRPr="00D1521A">
        <w:rPr>
          <w:rFonts w:asciiTheme="majorHAnsi" w:hAnsiTheme="majorHAnsi" w:cstheme="majorHAnsi"/>
          <w:sz w:val="21"/>
          <w:szCs w:val="21"/>
        </w:rPr>
        <w:t>prowadzenie efektywnych mechanizmów korzystania z renty planistycznej przez stronę publiczną.</w:t>
      </w:r>
    </w:p>
    <w:p w14:paraId="1EB77043" w14:textId="3DE1FF89" w:rsidR="00AE1D2F" w:rsidRPr="00C1690D" w:rsidRDefault="00C1690D" w:rsidP="00C1690D">
      <w:pPr>
        <w:jc w:val="both"/>
        <w:rPr>
          <w:rFonts w:asciiTheme="majorHAnsi" w:hAnsiTheme="majorHAnsi" w:cstheme="majorHAnsi"/>
          <w:b/>
          <w:bCs/>
          <w:color w:val="ED7D31" w:themeColor="accent2"/>
        </w:rPr>
      </w:pPr>
      <w:r w:rsidRPr="00C1690D">
        <w:rPr>
          <w:rFonts w:asciiTheme="majorHAnsi" w:hAnsiTheme="majorHAnsi" w:cstheme="majorHAnsi"/>
          <w:b/>
          <w:bCs/>
          <w:color w:val="ED7D31" w:themeColor="accent2"/>
        </w:rPr>
        <w:t xml:space="preserve">TRANSPORT </w:t>
      </w:r>
    </w:p>
    <w:p w14:paraId="4DCB42C8" w14:textId="183F246A" w:rsidR="00B22C08" w:rsidRPr="00D1521A" w:rsidRDefault="00B22C08" w:rsidP="00C1690D">
      <w:pPr>
        <w:jc w:val="both"/>
        <w:rPr>
          <w:rFonts w:asciiTheme="majorHAnsi" w:hAnsiTheme="majorHAnsi" w:cstheme="majorHAnsi"/>
          <w:sz w:val="21"/>
          <w:szCs w:val="21"/>
        </w:rPr>
      </w:pPr>
      <w:r w:rsidRPr="00D1521A">
        <w:rPr>
          <w:rFonts w:asciiTheme="majorHAnsi" w:hAnsiTheme="majorHAnsi" w:cstheme="majorHAnsi"/>
          <w:sz w:val="21"/>
          <w:szCs w:val="21"/>
        </w:rPr>
        <w:t xml:space="preserve">W ostatnich latach w polskich miastach narastają problemy związane z mobilnością. Z jednej strony stale przybywa samochodów, pod które przede wszystkich obecnie projektuje się układy komunikacyjne, a z drugiej rośnie świadomość </w:t>
      </w:r>
      <w:r w:rsidR="00D7697B" w:rsidRPr="00D1521A">
        <w:rPr>
          <w:rFonts w:asciiTheme="majorHAnsi" w:hAnsiTheme="majorHAnsi" w:cstheme="majorHAnsi"/>
          <w:sz w:val="21"/>
          <w:szCs w:val="21"/>
        </w:rPr>
        <w:t xml:space="preserve">i potrzeby innych uczestników ruchu – pasażerów komunikacji publicznej, rowerzystów, pieszych oraz innych np. hulajnóg. </w:t>
      </w:r>
    </w:p>
    <w:p w14:paraId="122078B5" w14:textId="5D3D2C4A" w:rsidR="00BC3DF1" w:rsidRPr="00D1521A" w:rsidRDefault="00B22C08" w:rsidP="00C1690D">
      <w:pPr>
        <w:jc w:val="both"/>
        <w:rPr>
          <w:rFonts w:asciiTheme="majorHAnsi" w:hAnsiTheme="majorHAnsi" w:cstheme="majorHAnsi"/>
          <w:sz w:val="21"/>
          <w:szCs w:val="21"/>
        </w:rPr>
      </w:pPr>
      <w:r w:rsidRPr="00D1521A">
        <w:rPr>
          <w:rFonts w:asciiTheme="majorHAnsi" w:hAnsiTheme="majorHAnsi" w:cstheme="majorHAnsi"/>
          <w:sz w:val="21"/>
          <w:szCs w:val="21"/>
        </w:rPr>
        <w:t xml:space="preserve">Polityki związane z ograniczaniem ruchu samochodowego w miastach budzą duży sprzeciw – w szczególności wśród osób, które z samochodu korzystają na co dzień. </w:t>
      </w:r>
      <w:r w:rsidR="00E338DF" w:rsidRPr="00D1521A">
        <w:rPr>
          <w:rFonts w:asciiTheme="majorHAnsi" w:hAnsiTheme="majorHAnsi" w:cstheme="majorHAnsi"/>
          <w:sz w:val="21"/>
          <w:szCs w:val="21"/>
        </w:rPr>
        <w:t>Szacuje się jednak</w:t>
      </w:r>
      <w:r w:rsidRPr="00D1521A">
        <w:rPr>
          <w:rFonts w:asciiTheme="majorHAnsi" w:hAnsiTheme="majorHAnsi" w:cstheme="majorHAnsi"/>
          <w:sz w:val="21"/>
          <w:szCs w:val="21"/>
        </w:rPr>
        <w:t>, że tylko ok. 10% ruchu samochodowego w dużym mieście to tzw. ruch niezbędny</w:t>
      </w:r>
      <w:r w:rsidR="00E338DF" w:rsidRPr="00D1521A">
        <w:rPr>
          <w:rFonts w:asciiTheme="majorHAnsi" w:hAnsiTheme="majorHAnsi" w:cstheme="majorHAnsi"/>
          <w:sz w:val="21"/>
          <w:szCs w:val="21"/>
        </w:rPr>
        <w:t>, który trudno zastąpić inną formą przemieszczania się</w:t>
      </w:r>
      <w:r w:rsidR="00BC3DF1" w:rsidRPr="00D1521A">
        <w:rPr>
          <w:rFonts w:asciiTheme="majorHAnsi" w:hAnsiTheme="majorHAnsi" w:cstheme="majorHAnsi"/>
          <w:sz w:val="21"/>
          <w:szCs w:val="21"/>
        </w:rPr>
        <w:t>.</w:t>
      </w:r>
    </w:p>
    <w:p w14:paraId="510E1A8F" w14:textId="31AFAB65" w:rsidR="00B22C08" w:rsidRPr="00D1521A" w:rsidRDefault="00BC3DF1" w:rsidP="00C1690D">
      <w:pPr>
        <w:jc w:val="both"/>
        <w:rPr>
          <w:rFonts w:asciiTheme="majorHAnsi" w:hAnsiTheme="majorHAnsi" w:cstheme="majorHAnsi"/>
          <w:sz w:val="21"/>
          <w:szCs w:val="21"/>
        </w:rPr>
      </w:pPr>
      <w:r w:rsidRPr="00D1521A">
        <w:rPr>
          <w:rFonts w:asciiTheme="majorHAnsi" w:hAnsiTheme="majorHAnsi" w:cstheme="majorHAnsi"/>
          <w:sz w:val="21"/>
          <w:szCs w:val="21"/>
        </w:rPr>
        <w:t xml:space="preserve">Jednym ze zdiagnozowanych powodów prymatu podejścia drogowego nad podejściem </w:t>
      </w:r>
      <w:proofErr w:type="spellStart"/>
      <w:r w:rsidRPr="00D1521A">
        <w:rPr>
          <w:rFonts w:asciiTheme="majorHAnsi" w:hAnsiTheme="majorHAnsi" w:cstheme="majorHAnsi"/>
          <w:sz w:val="21"/>
          <w:szCs w:val="21"/>
        </w:rPr>
        <w:t>ogólnotransportowym</w:t>
      </w:r>
      <w:proofErr w:type="spellEnd"/>
      <w:r w:rsidRPr="00D1521A">
        <w:rPr>
          <w:rFonts w:asciiTheme="majorHAnsi" w:hAnsiTheme="majorHAnsi" w:cstheme="majorHAnsi"/>
          <w:sz w:val="21"/>
          <w:szCs w:val="21"/>
        </w:rPr>
        <w:t xml:space="preserve"> jest charakterystyka specustawy drogowej, która skupia się na </w:t>
      </w:r>
      <w:proofErr w:type="spellStart"/>
      <w:r w:rsidRPr="00D1521A">
        <w:rPr>
          <w:rFonts w:asciiTheme="majorHAnsi" w:hAnsiTheme="majorHAnsi" w:cstheme="majorHAnsi"/>
          <w:sz w:val="21"/>
          <w:szCs w:val="21"/>
        </w:rPr>
        <w:t>technikaliach</w:t>
      </w:r>
      <w:proofErr w:type="spellEnd"/>
      <w:r w:rsidRPr="00D1521A">
        <w:rPr>
          <w:rFonts w:asciiTheme="majorHAnsi" w:hAnsiTheme="majorHAnsi" w:cstheme="majorHAnsi"/>
          <w:sz w:val="21"/>
          <w:szCs w:val="21"/>
        </w:rPr>
        <w:t xml:space="preserve"> procesu budowy dróg, a nie zawiera odniesienia do kwestii społecznej – transportu jako potrzeby przemieszczania się ludzi w mieście.</w:t>
      </w:r>
      <w:r w:rsidR="009552F7" w:rsidRPr="00D1521A">
        <w:rPr>
          <w:rFonts w:asciiTheme="majorHAnsi" w:hAnsiTheme="majorHAnsi" w:cstheme="majorHAnsi"/>
          <w:sz w:val="21"/>
          <w:szCs w:val="21"/>
        </w:rPr>
        <w:t xml:space="preserve"> I chociaż </w:t>
      </w:r>
      <w:r w:rsidR="009552F7" w:rsidRPr="00D1521A">
        <w:rPr>
          <w:rFonts w:asciiTheme="majorHAnsi" w:hAnsiTheme="majorHAnsi" w:cstheme="majorHAnsi"/>
          <w:sz w:val="21"/>
          <w:szCs w:val="21"/>
        </w:rPr>
        <w:t xml:space="preserve">można z ustawy korzystać racjonalnie, wspierając zrównoważony transport, </w:t>
      </w:r>
      <w:r w:rsidR="009552F7" w:rsidRPr="00D1521A">
        <w:rPr>
          <w:rFonts w:asciiTheme="majorHAnsi" w:hAnsiTheme="majorHAnsi" w:cstheme="majorHAnsi"/>
          <w:sz w:val="21"/>
          <w:szCs w:val="21"/>
        </w:rPr>
        <w:t>to</w:t>
      </w:r>
      <w:r w:rsidR="009552F7" w:rsidRPr="00D1521A">
        <w:rPr>
          <w:rFonts w:asciiTheme="majorHAnsi" w:hAnsiTheme="majorHAnsi" w:cstheme="majorHAnsi"/>
          <w:sz w:val="21"/>
          <w:szCs w:val="21"/>
        </w:rPr>
        <w:t xml:space="preserve"> nie jest to</w:t>
      </w:r>
      <w:r w:rsidR="009552F7" w:rsidRPr="00D1521A">
        <w:rPr>
          <w:rFonts w:asciiTheme="majorHAnsi" w:hAnsiTheme="majorHAnsi" w:cstheme="majorHAnsi"/>
          <w:sz w:val="21"/>
          <w:szCs w:val="21"/>
        </w:rPr>
        <w:t xml:space="preserve"> ani</w:t>
      </w:r>
      <w:r w:rsidR="009552F7" w:rsidRPr="00D1521A">
        <w:rPr>
          <w:rFonts w:asciiTheme="majorHAnsi" w:hAnsiTheme="majorHAnsi" w:cstheme="majorHAnsi"/>
          <w:sz w:val="21"/>
          <w:szCs w:val="21"/>
        </w:rPr>
        <w:t xml:space="preserve"> łatwe ani oczywiste i zależy od indywidualnego podejścia decydentów w poszczególnych samorządach.</w:t>
      </w:r>
    </w:p>
    <w:p w14:paraId="09510BC5" w14:textId="12364E77" w:rsidR="007D7D74" w:rsidRPr="00D1521A" w:rsidRDefault="007D7D74" w:rsidP="00C1690D">
      <w:pPr>
        <w:jc w:val="both"/>
        <w:rPr>
          <w:rFonts w:asciiTheme="majorHAnsi" w:hAnsiTheme="majorHAnsi" w:cstheme="majorHAnsi"/>
          <w:sz w:val="21"/>
          <w:szCs w:val="21"/>
        </w:rPr>
      </w:pPr>
      <w:r w:rsidRPr="00D1521A">
        <w:rPr>
          <w:rFonts w:asciiTheme="majorHAnsi" w:hAnsiTheme="majorHAnsi" w:cstheme="majorHAnsi"/>
          <w:sz w:val="21"/>
          <w:szCs w:val="21"/>
        </w:rPr>
        <w:t xml:space="preserve">Dlatego eksperci postulują </w:t>
      </w:r>
      <w:r w:rsidRPr="00D1521A">
        <w:rPr>
          <w:rFonts w:asciiTheme="majorHAnsi" w:hAnsiTheme="majorHAnsi" w:cstheme="majorHAnsi"/>
          <w:b/>
          <w:bCs/>
          <w:sz w:val="21"/>
          <w:szCs w:val="21"/>
        </w:rPr>
        <w:t xml:space="preserve">zwiększenie nadzoru </w:t>
      </w:r>
      <w:r w:rsidRPr="00D1521A">
        <w:rPr>
          <w:rFonts w:asciiTheme="majorHAnsi" w:hAnsiTheme="majorHAnsi" w:cstheme="majorHAnsi"/>
          <w:b/>
          <w:bCs/>
          <w:sz w:val="21"/>
          <w:szCs w:val="21"/>
        </w:rPr>
        <w:t>nad celowością wydatkowania środków na inwestycje transportu publicznego przez samorządy, w szczególności z wykorzystaniem funduszy unijnych</w:t>
      </w:r>
      <w:r w:rsidRPr="00D1521A">
        <w:rPr>
          <w:rFonts w:asciiTheme="majorHAnsi" w:hAnsiTheme="majorHAnsi" w:cstheme="majorHAnsi"/>
          <w:sz w:val="21"/>
          <w:szCs w:val="21"/>
        </w:rPr>
        <w:t xml:space="preserve">. </w:t>
      </w:r>
      <w:r w:rsidRPr="00D1521A">
        <w:rPr>
          <w:rFonts w:asciiTheme="majorHAnsi" w:hAnsiTheme="majorHAnsi" w:cstheme="majorHAnsi"/>
          <w:sz w:val="21"/>
          <w:szCs w:val="21"/>
        </w:rPr>
        <w:t>Według nich n</w:t>
      </w:r>
      <w:r w:rsidRPr="00D1521A">
        <w:rPr>
          <w:rFonts w:asciiTheme="majorHAnsi" w:hAnsiTheme="majorHAnsi" w:cstheme="majorHAnsi"/>
          <w:sz w:val="21"/>
          <w:szCs w:val="21"/>
        </w:rPr>
        <w:t xml:space="preserve">ależy wdrożyć taki mechanizm oceny, który będzie weryfikował rzeczywistą poprawę warunków dla transportu zbiorowego względem poniesionych wydatków, nawet kosztem zmniejszenia przepustowości pojazdów indywidualnych. </w:t>
      </w:r>
      <w:r w:rsidRPr="00D1521A">
        <w:rPr>
          <w:rFonts w:asciiTheme="majorHAnsi" w:hAnsiTheme="majorHAnsi" w:cstheme="majorHAnsi"/>
          <w:sz w:val="21"/>
          <w:szCs w:val="21"/>
        </w:rPr>
        <w:t xml:space="preserve">W raporcie zwrócono bowiem uwagę na liczne </w:t>
      </w:r>
      <w:r w:rsidRPr="00D1521A">
        <w:rPr>
          <w:rFonts w:asciiTheme="majorHAnsi" w:hAnsiTheme="majorHAnsi" w:cstheme="majorHAnsi"/>
          <w:sz w:val="21"/>
          <w:szCs w:val="21"/>
        </w:rPr>
        <w:t xml:space="preserve">sytuacje, </w:t>
      </w:r>
      <w:r w:rsidRPr="00D1521A">
        <w:rPr>
          <w:rStyle w:val="Wyrnienieintensywne"/>
          <w:rFonts w:asciiTheme="majorHAnsi" w:hAnsiTheme="majorHAnsi" w:cstheme="majorHAnsi"/>
          <w:i w:val="0"/>
          <w:iCs w:val="0"/>
          <w:color w:val="auto"/>
          <w:sz w:val="21"/>
          <w:szCs w:val="21"/>
        </w:rPr>
        <w:t xml:space="preserve">gdy projekt jest procedowany jako budowa infrastruktury rowerowej lub transportu publicznego, de facto polega na rozbudowaniu układu drogowego dla transportu indywidualnego. </w:t>
      </w:r>
    </w:p>
    <w:p w14:paraId="2FCCBCD7" w14:textId="588AB636" w:rsidR="00AE1D2F" w:rsidRPr="00D1521A" w:rsidRDefault="0063785D" w:rsidP="00C1690D">
      <w:pPr>
        <w:jc w:val="both"/>
        <w:rPr>
          <w:rFonts w:asciiTheme="majorHAnsi" w:hAnsiTheme="majorHAnsi" w:cstheme="majorHAnsi"/>
          <w:sz w:val="21"/>
          <w:szCs w:val="21"/>
        </w:rPr>
      </w:pPr>
      <w:r w:rsidRPr="00D1521A">
        <w:rPr>
          <w:rFonts w:asciiTheme="majorHAnsi" w:hAnsiTheme="majorHAnsi" w:cstheme="majorHAnsi"/>
          <w:sz w:val="21"/>
          <w:szCs w:val="21"/>
        </w:rPr>
        <w:t xml:space="preserve">Jednocześnie w ramach prac nad raportem zauważano, że  </w:t>
      </w:r>
      <w:r w:rsidR="00B363BB" w:rsidRPr="00D1521A">
        <w:rPr>
          <w:rFonts w:asciiTheme="majorHAnsi" w:hAnsiTheme="majorHAnsi" w:cstheme="majorHAnsi"/>
          <w:sz w:val="21"/>
          <w:szCs w:val="21"/>
        </w:rPr>
        <w:t>gminy nie odczuwają wsparcia systemowego ze strony państwa, by budowa</w:t>
      </w:r>
      <w:r w:rsidRPr="00D1521A">
        <w:rPr>
          <w:rFonts w:asciiTheme="majorHAnsi" w:hAnsiTheme="majorHAnsi" w:cstheme="majorHAnsi"/>
          <w:sz w:val="21"/>
          <w:szCs w:val="21"/>
        </w:rPr>
        <w:t>ć</w:t>
      </w:r>
      <w:r w:rsidR="00B363BB" w:rsidRPr="00D1521A">
        <w:rPr>
          <w:rFonts w:asciiTheme="majorHAnsi" w:hAnsiTheme="majorHAnsi" w:cstheme="majorHAnsi"/>
          <w:sz w:val="21"/>
          <w:szCs w:val="21"/>
        </w:rPr>
        <w:t xml:space="preserve"> dobrej jakości infrastrukturę rowerową i pieszą</w:t>
      </w:r>
      <w:r w:rsidRPr="00D1521A">
        <w:rPr>
          <w:rFonts w:asciiTheme="majorHAnsi" w:hAnsiTheme="majorHAnsi" w:cstheme="majorHAnsi"/>
          <w:sz w:val="21"/>
          <w:szCs w:val="21"/>
        </w:rPr>
        <w:t>.</w:t>
      </w:r>
      <w:r w:rsidR="00B363BB" w:rsidRPr="00D1521A">
        <w:rPr>
          <w:rFonts w:asciiTheme="majorHAnsi" w:hAnsiTheme="majorHAnsi" w:cstheme="majorHAnsi"/>
          <w:sz w:val="21"/>
          <w:szCs w:val="21"/>
        </w:rPr>
        <w:t xml:space="preserve"> Proponuje się zatem </w:t>
      </w:r>
      <w:r w:rsidR="00B363BB" w:rsidRPr="00D1521A">
        <w:rPr>
          <w:rFonts w:asciiTheme="majorHAnsi" w:hAnsiTheme="majorHAnsi" w:cstheme="majorHAnsi"/>
          <w:b/>
          <w:bCs/>
          <w:sz w:val="21"/>
          <w:szCs w:val="21"/>
        </w:rPr>
        <w:t>wprowadzenie krajowego funduszu kierowanego na rozbudowę infrastruktury rowerowej i pieszej. Dotacje powinny być zależne od dotychczasowych działań samorządu</w:t>
      </w:r>
      <w:r w:rsidR="00B363BB" w:rsidRPr="00D1521A">
        <w:rPr>
          <w:rFonts w:asciiTheme="majorHAnsi" w:hAnsiTheme="majorHAnsi" w:cstheme="majorHAnsi"/>
          <w:sz w:val="21"/>
          <w:szCs w:val="21"/>
        </w:rPr>
        <w:t>: taki, który już może się pochwalić dobrą infrastrukturą dla pieszych i rowerzystów, zamykaniem dla ruchu samochodowego ulic przy szkołach lub chociażby wprowadzaniem stref Tempo-30 lub stref zamieszkania, powinien być premiowany większą dotacją w myśl konieczności zapewnienia efektu skali i powiązania układu w spójną sieć.</w:t>
      </w:r>
    </w:p>
    <w:p w14:paraId="5F0C72ED" w14:textId="2FDF1434" w:rsidR="000A7EED" w:rsidRPr="00D1521A" w:rsidRDefault="00D1521A" w:rsidP="00C1690D">
      <w:pPr>
        <w:jc w:val="both"/>
        <w:rPr>
          <w:rFonts w:asciiTheme="majorHAnsi" w:hAnsiTheme="majorHAnsi" w:cstheme="majorHAnsi"/>
          <w:b/>
          <w:bCs/>
          <w:color w:val="ED7D31" w:themeColor="accent2"/>
        </w:rPr>
      </w:pPr>
      <w:r w:rsidRPr="00D1521A">
        <w:rPr>
          <w:rFonts w:asciiTheme="majorHAnsi" w:hAnsiTheme="majorHAnsi" w:cstheme="majorHAnsi"/>
          <w:b/>
          <w:bCs/>
          <w:color w:val="ED7D31" w:themeColor="accent2"/>
        </w:rPr>
        <w:t>MIESZKALNICTWO</w:t>
      </w:r>
    </w:p>
    <w:p w14:paraId="31647419" w14:textId="77777777" w:rsidR="00DB6559" w:rsidRPr="00D1521A" w:rsidRDefault="00B6096A" w:rsidP="00C1690D">
      <w:pPr>
        <w:jc w:val="both"/>
        <w:rPr>
          <w:rFonts w:asciiTheme="majorHAnsi" w:hAnsiTheme="majorHAnsi" w:cstheme="majorHAnsi"/>
          <w:sz w:val="21"/>
          <w:szCs w:val="21"/>
        </w:rPr>
      </w:pPr>
      <w:r w:rsidRPr="00D1521A">
        <w:rPr>
          <w:rFonts w:asciiTheme="majorHAnsi" w:hAnsiTheme="majorHAnsi" w:cstheme="majorHAnsi"/>
          <w:sz w:val="21"/>
          <w:szCs w:val="21"/>
        </w:rPr>
        <w:t xml:space="preserve">Współcześnie nawet w najbardziej rozwiniętych gospodarkach wzrasta interwencjonizm władz publicznych mający na celu rozwój sektora mieszkań społecznych (dostępnych). Na ten rozwój należy patrzeć jako na wiodący element realizacji idei miasta zrównoważonego, gdzie odpowiedź na potrzeby mieszkaniowe jest ważnym, ale nie jedynym celem. </w:t>
      </w:r>
    </w:p>
    <w:p w14:paraId="7964D110" w14:textId="5BBE5F8C" w:rsidR="00F24623" w:rsidRPr="00D1521A" w:rsidRDefault="008E0523" w:rsidP="00C1690D">
      <w:pPr>
        <w:jc w:val="both"/>
        <w:rPr>
          <w:rFonts w:asciiTheme="majorHAnsi" w:hAnsiTheme="majorHAnsi" w:cstheme="majorHAnsi"/>
          <w:sz w:val="21"/>
          <w:szCs w:val="21"/>
        </w:rPr>
      </w:pPr>
      <w:r w:rsidRPr="00D1521A">
        <w:rPr>
          <w:rFonts w:asciiTheme="majorHAnsi" w:hAnsiTheme="majorHAnsi" w:cstheme="majorHAnsi"/>
          <w:sz w:val="21"/>
          <w:szCs w:val="21"/>
        </w:rPr>
        <w:t xml:space="preserve">Trudno jednak podejmować właściwe decyzje bez </w:t>
      </w:r>
      <w:r w:rsidRPr="00D1521A">
        <w:rPr>
          <w:rFonts w:asciiTheme="majorHAnsi" w:hAnsiTheme="majorHAnsi" w:cstheme="majorHAnsi"/>
          <w:sz w:val="21"/>
          <w:szCs w:val="21"/>
        </w:rPr>
        <w:t xml:space="preserve">kompleksowej, aktualnej informacji o podstawowych wskaźnikach </w:t>
      </w:r>
      <w:r w:rsidR="00351D72" w:rsidRPr="00D1521A">
        <w:rPr>
          <w:rFonts w:asciiTheme="majorHAnsi" w:hAnsiTheme="majorHAnsi" w:cstheme="majorHAnsi"/>
          <w:sz w:val="21"/>
          <w:szCs w:val="21"/>
        </w:rPr>
        <w:t>w temacie mieszkalnictwa</w:t>
      </w:r>
      <w:r w:rsidRPr="00D1521A">
        <w:rPr>
          <w:rFonts w:asciiTheme="majorHAnsi" w:hAnsiTheme="majorHAnsi" w:cstheme="majorHAnsi"/>
          <w:sz w:val="21"/>
          <w:szCs w:val="21"/>
        </w:rPr>
        <w:t xml:space="preserve">. Dlatego </w:t>
      </w:r>
      <w:r w:rsidRPr="00D1521A">
        <w:rPr>
          <w:rFonts w:asciiTheme="majorHAnsi" w:hAnsiTheme="majorHAnsi" w:cstheme="majorHAnsi"/>
          <w:b/>
          <w:bCs/>
          <w:sz w:val="21"/>
          <w:szCs w:val="21"/>
        </w:rPr>
        <w:t xml:space="preserve">eksperci rekomendują w pierwszej kolejności </w:t>
      </w:r>
      <w:r w:rsidRPr="00D1521A">
        <w:rPr>
          <w:rFonts w:asciiTheme="majorHAnsi" w:hAnsiTheme="majorHAnsi" w:cstheme="majorHAnsi"/>
          <w:b/>
          <w:bCs/>
          <w:sz w:val="21"/>
          <w:szCs w:val="21"/>
        </w:rPr>
        <w:t>wprowadzenie obowiązku tworzenia przez władze miasta dokumentu z zakresu monitoringu sytuacji mieszkaniowej w mieście</w:t>
      </w:r>
      <w:r w:rsidRPr="00D1521A">
        <w:rPr>
          <w:rFonts w:asciiTheme="majorHAnsi" w:hAnsiTheme="majorHAnsi" w:cstheme="majorHAnsi"/>
          <w:sz w:val="21"/>
          <w:szCs w:val="21"/>
        </w:rPr>
        <w:t>. Dokument ten powinien diagnozować</w:t>
      </w:r>
      <w:r w:rsidR="00351D72" w:rsidRPr="00D1521A">
        <w:rPr>
          <w:rFonts w:asciiTheme="majorHAnsi" w:hAnsiTheme="majorHAnsi" w:cstheme="majorHAnsi"/>
          <w:sz w:val="21"/>
          <w:szCs w:val="21"/>
        </w:rPr>
        <w:t xml:space="preserve"> między innymi: </w:t>
      </w:r>
      <w:r w:rsidR="00351D72" w:rsidRPr="00D1521A">
        <w:rPr>
          <w:rFonts w:asciiTheme="majorHAnsi" w:hAnsiTheme="majorHAnsi" w:cstheme="majorHAnsi"/>
          <w:sz w:val="21"/>
          <w:szCs w:val="21"/>
        </w:rPr>
        <w:t>zasób mieszkaniowy pod względem ilościowym i jakościowym</w:t>
      </w:r>
      <w:r w:rsidR="00351D72" w:rsidRPr="00D1521A">
        <w:rPr>
          <w:rFonts w:asciiTheme="majorHAnsi" w:hAnsiTheme="majorHAnsi" w:cstheme="majorHAnsi"/>
          <w:sz w:val="21"/>
          <w:szCs w:val="21"/>
        </w:rPr>
        <w:t xml:space="preserve">, </w:t>
      </w:r>
      <w:r w:rsidR="00351D72" w:rsidRPr="00D1521A">
        <w:rPr>
          <w:rFonts w:asciiTheme="majorHAnsi" w:hAnsiTheme="majorHAnsi" w:cstheme="majorHAnsi"/>
          <w:sz w:val="21"/>
          <w:szCs w:val="21"/>
        </w:rPr>
        <w:t>rynkowe potrzeby mieszkaniowe oraz potrzeby w sektorze dostępnym i społecznym</w:t>
      </w:r>
      <w:r w:rsidR="00351D72" w:rsidRPr="00D1521A">
        <w:rPr>
          <w:rFonts w:asciiTheme="majorHAnsi" w:hAnsiTheme="majorHAnsi" w:cstheme="majorHAnsi"/>
          <w:sz w:val="21"/>
          <w:szCs w:val="21"/>
        </w:rPr>
        <w:t xml:space="preserve">, </w:t>
      </w:r>
      <w:r w:rsidR="00351D72" w:rsidRPr="00D1521A">
        <w:rPr>
          <w:rFonts w:asciiTheme="majorHAnsi" w:hAnsiTheme="majorHAnsi" w:cstheme="majorHAnsi"/>
          <w:sz w:val="21"/>
          <w:szCs w:val="21"/>
        </w:rPr>
        <w:t>dostępność mieszkaniową dla gospodarstw domowych z różnych grup społeczno-ekonomicznych</w:t>
      </w:r>
      <w:r w:rsidR="00351D72" w:rsidRPr="00D1521A">
        <w:rPr>
          <w:rFonts w:asciiTheme="majorHAnsi" w:hAnsiTheme="majorHAnsi" w:cstheme="majorHAnsi"/>
          <w:sz w:val="21"/>
          <w:szCs w:val="21"/>
        </w:rPr>
        <w:t xml:space="preserve">. Do raportu dołączono bardziej szczegółową propozycję takiego monitoringu. </w:t>
      </w:r>
      <w:r w:rsidR="008D2CE7" w:rsidRPr="00D1521A">
        <w:rPr>
          <w:rFonts w:asciiTheme="majorHAnsi" w:hAnsiTheme="majorHAnsi" w:cstheme="majorHAnsi"/>
          <w:sz w:val="21"/>
          <w:szCs w:val="21"/>
        </w:rPr>
        <w:t xml:space="preserve">Proponowany jest również obowiązek sporządzania </w:t>
      </w:r>
      <w:r w:rsidR="008D2CE7" w:rsidRPr="00D1521A">
        <w:rPr>
          <w:rFonts w:asciiTheme="majorHAnsi" w:hAnsiTheme="majorHAnsi" w:cstheme="majorHAnsi"/>
          <w:sz w:val="21"/>
          <w:szCs w:val="21"/>
        </w:rPr>
        <w:t>dokument</w:t>
      </w:r>
      <w:r w:rsidR="008D2CE7" w:rsidRPr="00D1521A">
        <w:rPr>
          <w:rFonts w:asciiTheme="majorHAnsi" w:hAnsiTheme="majorHAnsi" w:cstheme="majorHAnsi"/>
          <w:sz w:val="21"/>
          <w:szCs w:val="21"/>
        </w:rPr>
        <w:t>u</w:t>
      </w:r>
      <w:r w:rsidR="008D2CE7" w:rsidRPr="00D1521A">
        <w:rPr>
          <w:rFonts w:asciiTheme="majorHAnsi" w:hAnsiTheme="majorHAnsi" w:cstheme="majorHAnsi"/>
          <w:sz w:val="21"/>
          <w:szCs w:val="21"/>
        </w:rPr>
        <w:t xml:space="preserve"> strategiczn</w:t>
      </w:r>
      <w:r w:rsidR="008D2CE7" w:rsidRPr="00D1521A">
        <w:rPr>
          <w:rFonts w:asciiTheme="majorHAnsi" w:hAnsiTheme="majorHAnsi" w:cstheme="majorHAnsi"/>
          <w:sz w:val="21"/>
          <w:szCs w:val="21"/>
        </w:rPr>
        <w:t>ego</w:t>
      </w:r>
      <w:r w:rsidR="008D2CE7" w:rsidRPr="00D1521A">
        <w:rPr>
          <w:rFonts w:asciiTheme="majorHAnsi" w:hAnsiTheme="majorHAnsi" w:cstheme="majorHAnsi"/>
          <w:sz w:val="21"/>
          <w:szCs w:val="21"/>
        </w:rPr>
        <w:t xml:space="preserve"> o nazwie </w:t>
      </w:r>
      <w:r w:rsidR="008D2CE7" w:rsidRPr="00D1521A">
        <w:rPr>
          <w:rFonts w:asciiTheme="majorHAnsi" w:hAnsiTheme="majorHAnsi" w:cstheme="majorHAnsi"/>
          <w:b/>
          <w:bCs/>
          <w:sz w:val="21"/>
          <w:szCs w:val="21"/>
        </w:rPr>
        <w:t>„</w:t>
      </w:r>
      <w:r w:rsidR="008D2CE7" w:rsidRPr="00D1521A">
        <w:rPr>
          <w:rFonts w:asciiTheme="majorHAnsi" w:hAnsiTheme="majorHAnsi" w:cstheme="majorHAnsi"/>
          <w:b/>
          <w:bCs/>
          <w:sz w:val="21"/>
          <w:szCs w:val="21"/>
        </w:rPr>
        <w:t>Polityka mieszkaniowa miasta</w:t>
      </w:r>
      <w:r w:rsidR="008D2CE7" w:rsidRPr="00D1521A">
        <w:rPr>
          <w:rFonts w:asciiTheme="majorHAnsi" w:hAnsiTheme="majorHAnsi" w:cstheme="majorHAnsi"/>
          <w:b/>
          <w:bCs/>
          <w:sz w:val="21"/>
          <w:szCs w:val="21"/>
        </w:rPr>
        <w:t xml:space="preserve">”, </w:t>
      </w:r>
      <w:r w:rsidR="008D2CE7" w:rsidRPr="00D1521A">
        <w:rPr>
          <w:rFonts w:asciiTheme="majorHAnsi" w:hAnsiTheme="majorHAnsi" w:cstheme="majorHAnsi"/>
          <w:b/>
          <w:bCs/>
          <w:sz w:val="21"/>
          <w:szCs w:val="21"/>
        </w:rPr>
        <w:lastRenderedPageBreak/>
        <w:t xml:space="preserve">który </w:t>
      </w:r>
      <w:r w:rsidR="00F24623" w:rsidRPr="00D1521A">
        <w:rPr>
          <w:rFonts w:asciiTheme="majorHAnsi" w:hAnsiTheme="majorHAnsi" w:cstheme="majorHAnsi"/>
          <w:b/>
          <w:bCs/>
          <w:sz w:val="21"/>
          <w:szCs w:val="21"/>
        </w:rPr>
        <w:t xml:space="preserve">wychodziłby poza wąskie ramy  </w:t>
      </w:r>
      <w:r w:rsidR="00F24623" w:rsidRPr="00D1521A">
        <w:rPr>
          <w:rFonts w:asciiTheme="majorHAnsi" w:hAnsiTheme="majorHAnsi" w:cstheme="majorHAnsi"/>
          <w:b/>
          <w:bCs/>
          <w:sz w:val="21"/>
          <w:szCs w:val="21"/>
        </w:rPr>
        <w:t>gospodarowania</w:t>
      </w:r>
      <w:r w:rsidR="00F24623" w:rsidRPr="00D1521A">
        <w:rPr>
          <w:rFonts w:asciiTheme="majorHAnsi" w:hAnsiTheme="majorHAnsi" w:cstheme="majorHAnsi"/>
          <w:b/>
          <w:bCs/>
          <w:sz w:val="21"/>
          <w:szCs w:val="21"/>
        </w:rPr>
        <w:t xml:space="preserve"> tylko</w:t>
      </w:r>
      <w:r w:rsidR="00F24623" w:rsidRPr="00D1521A">
        <w:rPr>
          <w:rFonts w:asciiTheme="majorHAnsi" w:hAnsiTheme="majorHAnsi" w:cstheme="majorHAnsi"/>
          <w:b/>
          <w:bCs/>
          <w:sz w:val="21"/>
          <w:szCs w:val="21"/>
        </w:rPr>
        <w:t xml:space="preserve"> własnym zasobem mieszkaniowym w wieloletnim </w:t>
      </w:r>
      <w:r w:rsidR="00F24623" w:rsidRPr="00D1521A">
        <w:rPr>
          <w:rFonts w:asciiTheme="majorHAnsi" w:hAnsiTheme="majorHAnsi" w:cstheme="majorHAnsi"/>
          <w:b/>
          <w:bCs/>
          <w:sz w:val="21"/>
          <w:szCs w:val="21"/>
        </w:rPr>
        <w:t>jak ma to miejsce obecnie</w:t>
      </w:r>
      <w:r w:rsidR="00F24623" w:rsidRPr="00D1521A">
        <w:rPr>
          <w:rFonts w:asciiTheme="majorHAnsi" w:hAnsiTheme="majorHAnsi" w:cstheme="majorHAnsi"/>
          <w:sz w:val="21"/>
          <w:szCs w:val="21"/>
        </w:rPr>
        <w:t xml:space="preserve">. </w:t>
      </w:r>
    </w:p>
    <w:p w14:paraId="1933102A" w14:textId="517AA5EC" w:rsidR="00127BF9" w:rsidRPr="00D1521A" w:rsidRDefault="00127BF9" w:rsidP="00C1690D">
      <w:pPr>
        <w:jc w:val="both"/>
        <w:rPr>
          <w:rFonts w:asciiTheme="majorHAnsi" w:hAnsiTheme="majorHAnsi" w:cstheme="majorHAnsi"/>
          <w:bCs/>
          <w:sz w:val="21"/>
          <w:szCs w:val="21"/>
        </w:rPr>
      </w:pPr>
      <w:r w:rsidRPr="00D1521A">
        <w:rPr>
          <w:rFonts w:asciiTheme="majorHAnsi" w:hAnsiTheme="majorHAnsi" w:cstheme="majorHAnsi"/>
          <w:sz w:val="21"/>
          <w:szCs w:val="21"/>
        </w:rPr>
        <w:t>W raporcie temat mieszkalnictwa został wyraźnie powiązany z innymi politykami sektorowymi. Zwrócono uwagę na konieczność zwiększenia</w:t>
      </w:r>
      <w:r w:rsidR="00D04E1E" w:rsidRPr="00D1521A">
        <w:rPr>
          <w:rFonts w:asciiTheme="majorHAnsi" w:hAnsiTheme="majorHAnsi" w:cstheme="majorHAnsi"/>
          <w:sz w:val="21"/>
          <w:szCs w:val="21"/>
        </w:rPr>
        <w:t xml:space="preserve"> </w:t>
      </w:r>
      <w:r w:rsidRPr="00D1521A">
        <w:rPr>
          <w:rFonts w:asciiTheme="majorHAnsi" w:hAnsiTheme="majorHAnsi" w:cstheme="majorHAnsi"/>
          <w:sz w:val="21"/>
          <w:szCs w:val="21"/>
        </w:rPr>
        <w:t>roli projektów mieszkaniowych w ramach programów rewitalizacji</w:t>
      </w:r>
      <w:r w:rsidR="00D04E1E" w:rsidRPr="00D1521A">
        <w:rPr>
          <w:rFonts w:asciiTheme="majorHAnsi" w:hAnsiTheme="majorHAnsi" w:cstheme="majorHAnsi"/>
          <w:sz w:val="21"/>
          <w:szCs w:val="21"/>
        </w:rPr>
        <w:t xml:space="preserve"> poprzez finansowe instrumenty</w:t>
      </w:r>
      <w:r w:rsidR="00D04E1E" w:rsidRPr="00D1521A">
        <w:rPr>
          <w:rFonts w:asciiTheme="majorHAnsi" w:hAnsiTheme="majorHAnsi" w:cstheme="majorHAnsi"/>
          <w:sz w:val="21"/>
          <w:szCs w:val="21"/>
        </w:rPr>
        <w:t xml:space="preserve"> wsparcia mieszkalnictwa w rewitalizacji</w:t>
      </w:r>
      <w:r w:rsidR="00D04E1E" w:rsidRPr="00D1521A">
        <w:rPr>
          <w:rFonts w:asciiTheme="majorHAnsi" w:hAnsiTheme="majorHAnsi" w:cstheme="majorHAnsi"/>
          <w:sz w:val="21"/>
          <w:szCs w:val="21"/>
        </w:rPr>
        <w:t xml:space="preserve"> oraz </w:t>
      </w:r>
      <w:r w:rsidR="00D04E1E" w:rsidRPr="00D1521A">
        <w:rPr>
          <w:rFonts w:asciiTheme="majorHAnsi" w:hAnsiTheme="majorHAnsi" w:cstheme="majorHAnsi"/>
          <w:bCs/>
          <w:sz w:val="21"/>
          <w:szCs w:val="21"/>
        </w:rPr>
        <w:t>prowadzenie i popularyzację przedsięwzięć polegających na włączaniu w bezpośrednie prace remontowe, porządkowe, dekoracyjne społeczności mieszkańców obszarów zdegradowanych.</w:t>
      </w:r>
    </w:p>
    <w:p w14:paraId="693C2054" w14:textId="607BE80B" w:rsidR="00D04E1E" w:rsidRPr="00D1521A" w:rsidRDefault="00A13E20" w:rsidP="00C1690D">
      <w:pPr>
        <w:jc w:val="both"/>
        <w:rPr>
          <w:rFonts w:asciiTheme="majorHAnsi" w:hAnsiTheme="majorHAnsi" w:cstheme="majorHAnsi"/>
          <w:sz w:val="21"/>
          <w:szCs w:val="21"/>
        </w:rPr>
      </w:pPr>
      <w:r w:rsidRPr="00D1521A">
        <w:rPr>
          <w:rFonts w:asciiTheme="majorHAnsi" w:hAnsiTheme="majorHAnsi" w:cstheme="majorHAnsi"/>
          <w:bCs/>
          <w:sz w:val="21"/>
          <w:szCs w:val="21"/>
        </w:rPr>
        <w:t>Eksperci w raporcie podkreślają, że d</w:t>
      </w:r>
      <w:r w:rsidR="00D04E1E" w:rsidRPr="00D1521A">
        <w:rPr>
          <w:rFonts w:asciiTheme="majorHAnsi" w:hAnsiTheme="majorHAnsi" w:cstheme="majorHAnsi"/>
          <w:bCs/>
          <w:sz w:val="21"/>
          <w:szCs w:val="21"/>
        </w:rPr>
        <w:t>yskusja nad mieszkalnictwem nie może przebiegać bez uwzględnienia kontekstu przestrzennego.</w:t>
      </w:r>
      <w:r w:rsidRPr="00D1521A">
        <w:rPr>
          <w:rFonts w:asciiTheme="majorHAnsi" w:hAnsiTheme="majorHAnsi" w:cstheme="majorHAnsi"/>
          <w:bCs/>
          <w:sz w:val="21"/>
          <w:szCs w:val="21"/>
        </w:rPr>
        <w:t xml:space="preserve"> Dlatego zalecają takie programowanie polityki miejskiej, która gwarantuje zwartość zabudowy, priorytet ruchu pieszego oraz z</w:t>
      </w:r>
      <w:r w:rsidRPr="00D1521A">
        <w:rPr>
          <w:rFonts w:asciiTheme="majorHAnsi" w:hAnsiTheme="majorHAnsi" w:cstheme="majorHAnsi"/>
          <w:bCs/>
          <w:sz w:val="21"/>
          <w:szCs w:val="21"/>
        </w:rPr>
        <w:t>różnicowanie funkcjonalne zabudowy w ramach osiedli</w:t>
      </w:r>
      <w:r w:rsidRPr="00D1521A">
        <w:rPr>
          <w:rFonts w:asciiTheme="majorHAnsi" w:hAnsiTheme="majorHAnsi" w:cstheme="majorHAnsi"/>
          <w:bCs/>
          <w:sz w:val="21"/>
          <w:szCs w:val="21"/>
        </w:rPr>
        <w:t>, które</w:t>
      </w:r>
      <w:r w:rsidRPr="00D1521A">
        <w:rPr>
          <w:rFonts w:asciiTheme="majorHAnsi" w:hAnsiTheme="majorHAnsi" w:cstheme="majorHAnsi"/>
          <w:bCs/>
          <w:sz w:val="21"/>
          <w:szCs w:val="21"/>
        </w:rPr>
        <w:t xml:space="preserve"> przeciwdziała powstawaniu </w:t>
      </w:r>
      <w:proofErr w:type="spellStart"/>
      <w:r w:rsidRPr="00D1521A">
        <w:rPr>
          <w:rFonts w:asciiTheme="majorHAnsi" w:hAnsiTheme="majorHAnsi" w:cstheme="majorHAnsi"/>
          <w:bCs/>
          <w:sz w:val="21"/>
          <w:szCs w:val="21"/>
        </w:rPr>
        <w:t>monofunkcyjnych</w:t>
      </w:r>
      <w:proofErr w:type="spellEnd"/>
      <w:r w:rsidRPr="00D1521A">
        <w:rPr>
          <w:rFonts w:asciiTheme="majorHAnsi" w:hAnsiTheme="majorHAnsi" w:cstheme="majorHAnsi"/>
          <w:bCs/>
          <w:sz w:val="21"/>
          <w:szCs w:val="21"/>
        </w:rPr>
        <w:t xml:space="preserve"> „sypialni” mieszkaniowych, </w:t>
      </w:r>
      <w:r w:rsidRPr="00D1521A">
        <w:rPr>
          <w:rFonts w:asciiTheme="majorHAnsi" w:hAnsiTheme="majorHAnsi" w:cstheme="majorHAnsi"/>
          <w:bCs/>
          <w:sz w:val="21"/>
          <w:szCs w:val="21"/>
        </w:rPr>
        <w:t xml:space="preserve">gdzie </w:t>
      </w:r>
      <w:r w:rsidRPr="00D1521A">
        <w:rPr>
          <w:rFonts w:asciiTheme="majorHAnsi" w:hAnsiTheme="majorHAnsi" w:cstheme="majorHAnsi"/>
          <w:bCs/>
          <w:sz w:val="21"/>
          <w:szCs w:val="21"/>
        </w:rPr>
        <w:t>mieszkańcy wszystkie podstawowe funkcje realizować muszą poza miejscem zamieszkania.</w:t>
      </w:r>
    </w:p>
    <w:p w14:paraId="7263617D" w14:textId="103BF96D" w:rsidR="008D2CE7" w:rsidRPr="000D5A46" w:rsidRDefault="000D5A46" w:rsidP="00C1690D">
      <w:pPr>
        <w:jc w:val="both"/>
        <w:rPr>
          <w:rFonts w:asciiTheme="majorHAnsi" w:hAnsiTheme="majorHAnsi" w:cstheme="majorHAnsi"/>
          <w:b/>
          <w:bCs/>
          <w:color w:val="ED7D31" w:themeColor="accent2"/>
        </w:rPr>
      </w:pPr>
      <w:r w:rsidRPr="000D5A46">
        <w:rPr>
          <w:rFonts w:asciiTheme="majorHAnsi" w:hAnsiTheme="majorHAnsi" w:cstheme="majorHAnsi"/>
          <w:b/>
          <w:bCs/>
          <w:color w:val="ED7D31" w:themeColor="accent2"/>
        </w:rPr>
        <w:t>ŚRODOWISKO</w:t>
      </w:r>
    </w:p>
    <w:p w14:paraId="1F2E3D0D" w14:textId="1FC3A6F2" w:rsidR="005435A5" w:rsidRPr="00D1521A" w:rsidRDefault="005435A5" w:rsidP="00C1690D">
      <w:pPr>
        <w:jc w:val="both"/>
        <w:rPr>
          <w:rFonts w:asciiTheme="majorHAnsi" w:hAnsiTheme="majorHAnsi" w:cstheme="majorHAnsi"/>
          <w:sz w:val="21"/>
          <w:szCs w:val="21"/>
        </w:rPr>
      </w:pPr>
      <w:r w:rsidRPr="00D1521A">
        <w:rPr>
          <w:rFonts w:asciiTheme="majorHAnsi" w:hAnsiTheme="majorHAnsi" w:cstheme="majorHAnsi"/>
          <w:sz w:val="21"/>
          <w:szCs w:val="21"/>
        </w:rPr>
        <w:t>Wątek klimatyczny niemal w całości zdominował prace grupy ds. środowiska i adaptacji do zmian</w:t>
      </w:r>
      <w:r w:rsidR="00425C70" w:rsidRPr="00D1521A">
        <w:rPr>
          <w:rFonts w:asciiTheme="majorHAnsi" w:hAnsiTheme="majorHAnsi" w:cstheme="majorHAnsi"/>
          <w:sz w:val="21"/>
          <w:szCs w:val="21"/>
        </w:rPr>
        <w:t xml:space="preserve"> </w:t>
      </w:r>
      <w:r w:rsidRPr="00D1521A">
        <w:rPr>
          <w:rFonts w:asciiTheme="majorHAnsi" w:hAnsiTheme="majorHAnsi" w:cstheme="majorHAnsi"/>
          <w:sz w:val="21"/>
          <w:szCs w:val="21"/>
        </w:rPr>
        <w:t>klimatu, co wynikało zarówno z przekonania o ważkości tego zagadnienia, jak i poczucia, że wciąż nie jest ono właściwie uwzględnione w politykach miejskich.</w:t>
      </w:r>
      <w:r w:rsidRPr="00D1521A">
        <w:rPr>
          <w:rFonts w:asciiTheme="majorHAnsi" w:hAnsiTheme="majorHAnsi" w:cstheme="majorHAnsi"/>
          <w:sz w:val="21"/>
          <w:szCs w:val="21"/>
        </w:rPr>
        <w:t xml:space="preserve">  </w:t>
      </w:r>
      <w:r w:rsidRPr="00D1521A">
        <w:rPr>
          <w:rFonts w:asciiTheme="majorHAnsi" w:hAnsiTheme="majorHAnsi" w:cstheme="majorHAnsi"/>
          <w:b/>
          <w:bCs/>
          <w:sz w:val="21"/>
          <w:szCs w:val="21"/>
        </w:rPr>
        <w:t>Jak zwracają uwagę eksperci, z</w:t>
      </w:r>
      <w:r w:rsidRPr="00D1521A">
        <w:rPr>
          <w:rFonts w:asciiTheme="majorHAnsi" w:hAnsiTheme="majorHAnsi" w:cstheme="majorHAnsi"/>
          <w:b/>
          <w:bCs/>
          <w:sz w:val="21"/>
          <w:szCs w:val="21"/>
        </w:rPr>
        <w:t>równoważony rozwój wciąż stoi w cieniu polityki wzrostu gospodarczego.</w:t>
      </w:r>
      <w:r w:rsidRPr="00D1521A">
        <w:rPr>
          <w:rFonts w:asciiTheme="majorHAnsi" w:hAnsiTheme="majorHAnsi" w:cstheme="majorHAnsi"/>
          <w:sz w:val="21"/>
          <w:szCs w:val="21"/>
        </w:rPr>
        <w:t xml:space="preserve"> Pomimo deklaracji politycznych – od poziomu globalnego po lokalny – priorytety ekonomiczne przesłaniają cele środowiskowe, a rozsądek w obliczu zagrożeń cywilizacyjnych jest wciąż na marginesie praktyk niszczących rzeczywiste fundamenty rozwoju. </w:t>
      </w:r>
      <w:r w:rsidRPr="00D1521A">
        <w:rPr>
          <w:rFonts w:asciiTheme="majorHAnsi" w:hAnsiTheme="majorHAnsi" w:cstheme="majorHAnsi"/>
          <w:sz w:val="21"/>
          <w:szCs w:val="21"/>
        </w:rPr>
        <w:t xml:space="preserve">Jednocześnie </w:t>
      </w:r>
      <w:r w:rsidRPr="00D1521A">
        <w:rPr>
          <w:rFonts w:asciiTheme="majorHAnsi" w:hAnsiTheme="majorHAnsi" w:cstheme="majorHAnsi"/>
          <w:b/>
          <w:bCs/>
          <w:sz w:val="21"/>
          <w:szCs w:val="21"/>
        </w:rPr>
        <w:t xml:space="preserve">pomijane są </w:t>
      </w:r>
      <w:r w:rsidRPr="00D1521A">
        <w:rPr>
          <w:rFonts w:asciiTheme="majorHAnsi" w:hAnsiTheme="majorHAnsi" w:cstheme="majorHAnsi"/>
          <w:b/>
          <w:bCs/>
          <w:sz w:val="21"/>
          <w:szCs w:val="21"/>
        </w:rPr>
        <w:t>ogromne straty gospodarcze i wymierne koszty</w:t>
      </w:r>
      <w:r w:rsidRPr="00D1521A">
        <w:rPr>
          <w:rFonts w:asciiTheme="majorHAnsi" w:hAnsiTheme="majorHAnsi" w:cstheme="majorHAnsi"/>
          <w:b/>
          <w:bCs/>
          <w:sz w:val="21"/>
          <w:szCs w:val="21"/>
        </w:rPr>
        <w:t xml:space="preserve"> </w:t>
      </w:r>
      <w:r w:rsidR="00E97A2E" w:rsidRPr="00D1521A">
        <w:rPr>
          <w:rFonts w:asciiTheme="majorHAnsi" w:hAnsiTheme="majorHAnsi" w:cstheme="majorHAnsi"/>
          <w:b/>
          <w:bCs/>
          <w:sz w:val="21"/>
          <w:szCs w:val="21"/>
        </w:rPr>
        <w:t>realizowania polityki sprzecznej z zrównanym rozwojem.</w:t>
      </w:r>
      <w:r w:rsidR="00E97A2E" w:rsidRPr="00D1521A">
        <w:rPr>
          <w:rFonts w:asciiTheme="majorHAnsi" w:hAnsiTheme="majorHAnsi" w:cstheme="majorHAnsi"/>
          <w:sz w:val="21"/>
          <w:szCs w:val="21"/>
        </w:rPr>
        <w:t xml:space="preserve"> </w:t>
      </w:r>
      <w:r w:rsidR="00425C70" w:rsidRPr="00D1521A">
        <w:rPr>
          <w:rFonts w:asciiTheme="majorHAnsi" w:hAnsiTheme="majorHAnsi" w:cstheme="majorHAnsi"/>
          <w:sz w:val="21"/>
          <w:szCs w:val="21"/>
        </w:rPr>
        <w:t>Dlatego w</w:t>
      </w:r>
      <w:r w:rsidR="00425C70" w:rsidRPr="00D1521A">
        <w:rPr>
          <w:rFonts w:asciiTheme="majorHAnsi" w:hAnsiTheme="majorHAnsi" w:cstheme="majorHAnsi"/>
          <w:sz w:val="21"/>
          <w:szCs w:val="21"/>
        </w:rPr>
        <w:t xml:space="preserve"> lokalnych dokumentach planistycznych i strategicznych niezbędne jest precyzyjne dookreślanie lokalnych granicznych wartości wskaźników klimatycznych (w tym odporności, wrażliwości i podatności miast na zmiany klimatu) i podporządkowanie im prowadzonej polityki rozwoju.</w:t>
      </w:r>
    </w:p>
    <w:p w14:paraId="22F9253F" w14:textId="3C690654" w:rsidR="00E97A2E" w:rsidRPr="00D1521A" w:rsidRDefault="00E97A2E" w:rsidP="00C1690D">
      <w:pPr>
        <w:jc w:val="both"/>
        <w:rPr>
          <w:rFonts w:asciiTheme="majorHAnsi" w:hAnsiTheme="majorHAnsi" w:cstheme="majorHAnsi"/>
          <w:sz w:val="21"/>
          <w:szCs w:val="21"/>
        </w:rPr>
      </w:pPr>
      <w:r w:rsidRPr="00D1521A">
        <w:rPr>
          <w:rFonts w:asciiTheme="majorHAnsi" w:hAnsiTheme="majorHAnsi" w:cstheme="majorHAnsi"/>
          <w:sz w:val="21"/>
          <w:szCs w:val="21"/>
        </w:rPr>
        <w:t>Postulowan</w:t>
      </w:r>
      <w:r w:rsidR="00425C70" w:rsidRPr="00D1521A">
        <w:rPr>
          <w:rFonts w:asciiTheme="majorHAnsi" w:hAnsiTheme="majorHAnsi" w:cstheme="majorHAnsi"/>
          <w:sz w:val="21"/>
          <w:szCs w:val="21"/>
        </w:rPr>
        <w:t>e</w:t>
      </w:r>
      <w:r w:rsidRPr="00D1521A">
        <w:rPr>
          <w:rFonts w:asciiTheme="majorHAnsi" w:hAnsiTheme="majorHAnsi" w:cstheme="majorHAnsi"/>
          <w:sz w:val="21"/>
          <w:szCs w:val="21"/>
        </w:rPr>
        <w:t xml:space="preserve"> jest </w:t>
      </w:r>
      <w:r w:rsidR="00425C70" w:rsidRPr="00D1521A">
        <w:rPr>
          <w:rFonts w:asciiTheme="majorHAnsi" w:hAnsiTheme="majorHAnsi" w:cstheme="majorHAnsi"/>
          <w:sz w:val="21"/>
          <w:szCs w:val="21"/>
        </w:rPr>
        <w:t xml:space="preserve">również </w:t>
      </w:r>
      <w:r w:rsidR="00E8026F" w:rsidRPr="00D1521A">
        <w:rPr>
          <w:rFonts w:asciiTheme="majorHAnsi" w:hAnsiTheme="majorHAnsi" w:cstheme="majorHAnsi"/>
          <w:sz w:val="21"/>
          <w:szCs w:val="21"/>
        </w:rPr>
        <w:t xml:space="preserve">zwiększenie swobody samorządów </w:t>
      </w:r>
      <w:r w:rsidRPr="00D1521A">
        <w:rPr>
          <w:rFonts w:asciiTheme="majorHAnsi" w:hAnsiTheme="majorHAnsi" w:cstheme="majorHAnsi"/>
          <w:sz w:val="21"/>
          <w:szCs w:val="21"/>
        </w:rPr>
        <w:t>w zakresie prowadzonej polityki klimatycznej</w:t>
      </w:r>
      <w:r w:rsidR="00E8026F" w:rsidRPr="00D1521A">
        <w:rPr>
          <w:rFonts w:asciiTheme="majorHAnsi" w:hAnsiTheme="majorHAnsi" w:cstheme="majorHAnsi"/>
          <w:sz w:val="21"/>
          <w:szCs w:val="21"/>
        </w:rPr>
        <w:t xml:space="preserve">, przy jednoczesnym wprowadzeniu systemu </w:t>
      </w:r>
      <w:r w:rsidRPr="00D1521A">
        <w:rPr>
          <w:rFonts w:asciiTheme="majorHAnsi" w:hAnsiTheme="majorHAnsi" w:cstheme="majorHAnsi"/>
          <w:sz w:val="21"/>
          <w:szCs w:val="21"/>
        </w:rPr>
        <w:t>konkursow</w:t>
      </w:r>
      <w:r w:rsidR="00E8026F" w:rsidRPr="00D1521A">
        <w:rPr>
          <w:rFonts w:asciiTheme="majorHAnsi" w:hAnsiTheme="majorHAnsi" w:cstheme="majorHAnsi"/>
          <w:sz w:val="21"/>
          <w:szCs w:val="21"/>
        </w:rPr>
        <w:t xml:space="preserve">ego, który motywowałby miasta </w:t>
      </w:r>
      <w:r w:rsidRPr="00D1521A">
        <w:rPr>
          <w:rFonts w:asciiTheme="majorHAnsi" w:hAnsiTheme="majorHAnsi" w:cstheme="majorHAnsi"/>
          <w:sz w:val="21"/>
          <w:szCs w:val="21"/>
        </w:rPr>
        <w:t xml:space="preserve"> do wypracowywania najlepszych praktyk. </w:t>
      </w:r>
    </w:p>
    <w:p w14:paraId="7B083F29" w14:textId="0ECB41F6" w:rsidR="002E3C40" w:rsidRPr="00D1521A" w:rsidRDefault="002E3C40" w:rsidP="00C1690D">
      <w:pPr>
        <w:jc w:val="both"/>
        <w:rPr>
          <w:rFonts w:asciiTheme="majorHAnsi" w:hAnsiTheme="majorHAnsi" w:cstheme="majorHAnsi"/>
          <w:sz w:val="21"/>
          <w:szCs w:val="21"/>
        </w:rPr>
      </w:pPr>
      <w:r w:rsidRPr="00D1521A">
        <w:rPr>
          <w:rFonts w:asciiTheme="majorHAnsi" w:hAnsiTheme="majorHAnsi" w:cstheme="majorHAnsi"/>
          <w:sz w:val="21"/>
          <w:szCs w:val="21"/>
        </w:rPr>
        <w:t>Według ekspertów m</w:t>
      </w:r>
      <w:r w:rsidRPr="00D1521A">
        <w:rPr>
          <w:rFonts w:asciiTheme="majorHAnsi" w:hAnsiTheme="majorHAnsi" w:cstheme="majorHAnsi"/>
          <w:sz w:val="21"/>
          <w:szCs w:val="21"/>
        </w:rPr>
        <w:t xml:space="preserve">iejska gospodarka energetyczna powinna iść w kierunku podłączenia do systemu centralnego ogrzewania, inwestycji w odnawialne źródła energii (OZE) oraz wsparcia energetyki </w:t>
      </w:r>
      <w:proofErr w:type="spellStart"/>
      <w:r w:rsidRPr="00D1521A">
        <w:rPr>
          <w:rFonts w:asciiTheme="majorHAnsi" w:hAnsiTheme="majorHAnsi" w:cstheme="majorHAnsi"/>
          <w:sz w:val="21"/>
          <w:szCs w:val="21"/>
        </w:rPr>
        <w:t>prosumenckiej</w:t>
      </w:r>
      <w:proofErr w:type="spellEnd"/>
      <w:r w:rsidRPr="00D1521A">
        <w:rPr>
          <w:rFonts w:asciiTheme="majorHAnsi" w:hAnsiTheme="majorHAnsi" w:cstheme="majorHAnsi"/>
          <w:sz w:val="21"/>
          <w:szCs w:val="21"/>
        </w:rPr>
        <w:t xml:space="preserve">. W raporcie </w:t>
      </w:r>
      <w:r w:rsidRPr="00D1521A">
        <w:rPr>
          <w:rFonts w:asciiTheme="majorHAnsi" w:hAnsiTheme="majorHAnsi" w:cstheme="majorHAnsi"/>
          <w:b/>
          <w:bCs/>
          <w:sz w:val="21"/>
          <w:szCs w:val="21"/>
        </w:rPr>
        <w:t xml:space="preserve">postulowane </w:t>
      </w:r>
      <w:r w:rsidR="00F20DFA" w:rsidRPr="00D1521A">
        <w:rPr>
          <w:rFonts w:asciiTheme="majorHAnsi" w:hAnsiTheme="majorHAnsi" w:cstheme="majorHAnsi"/>
          <w:b/>
          <w:bCs/>
          <w:sz w:val="21"/>
          <w:szCs w:val="21"/>
        </w:rPr>
        <w:t>jest dookreślenie standardów klimatycznych w ramach pozwoleń na budowę</w:t>
      </w:r>
      <w:r w:rsidR="00F20DFA" w:rsidRPr="00D1521A">
        <w:rPr>
          <w:rFonts w:asciiTheme="majorHAnsi" w:hAnsiTheme="majorHAnsi" w:cstheme="majorHAnsi"/>
          <w:sz w:val="21"/>
          <w:szCs w:val="21"/>
        </w:rPr>
        <w:t xml:space="preserve">. </w:t>
      </w:r>
      <w:r w:rsidR="00643BAC" w:rsidRPr="00D1521A">
        <w:rPr>
          <w:rFonts w:asciiTheme="majorHAnsi" w:hAnsiTheme="majorHAnsi" w:cstheme="majorHAnsi"/>
          <w:sz w:val="21"/>
          <w:szCs w:val="21"/>
        </w:rPr>
        <w:t>W trakcie tego procesu</w:t>
      </w:r>
      <w:r w:rsidR="00643BAC" w:rsidRPr="00D1521A">
        <w:rPr>
          <w:rFonts w:asciiTheme="majorHAnsi" w:hAnsiTheme="majorHAnsi" w:cstheme="majorHAnsi"/>
          <w:sz w:val="21"/>
          <w:szCs w:val="21"/>
        </w:rPr>
        <w:t xml:space="preserve"> powinny być uwzględniane zalecenia z zakresu energooszczędności, poszanowania zasobów, stosowania innowacyjnych ekologicznych materiałów</w:t>
      </w:r>
      <w:r w:rsidRPr="00D1521A">
        <w:rPr>
          <w:rFonts w:asciiTheme="majorHAnsi" w:hAnsiTheme="majorHAnsi" w:cstheme="majorHAnsi"/>
          <w:sz w:val="21"/>
          <w:szCs w:val="21"/>
        </w:rPr>
        <w:t xml:space="preserve"> </w:t>
      </w:r>
      <w:r w:rsidR="00643BAC" w:rsidRPr="00D1521A">
        <w:rPr>
          <w:rFonts w:asciiTheme="majorHAnsi" w:hAnsiTheme="majorHAnsi" w:cstheme="majorHAnsi"/>
          <w:sz w:val="21"/>
          <w:szCs w:val="21"/>
        </w:rPr>
        <w:t>Dodatkowo, eksperci proponują, aby p</w:t>
      </w:r>
      <w:r w:rsidRPr="00D1521A">
        <w:rPr>
          <w:rFonts w:asciiTheme="majorHAnsi" w:hAnsiTheme="majorHAnsi" w:cstheme="majorHAnsi"/>
          <w:sz w:val="21"/>
          <w:szCs w:val="21"/>
        </w:rPr>
        <w:t xml:space="preserve">oszczególne kategorie działań w systemie punktowym mogłyby wpływać na wymiar podatku od nieruchomości. </w:t>
      </w:r>
    </w:p>
    <w:p w14:paraId="7F4FC64C" w14:textId="2D76FD39" w:rsidR="002E3C40" w:rsidRPr="00AC73C4" w:rsidRDefault="00AC73C4" w:rsidP="00AC73C4">
      <w:pPr>
        <w:jc w:val="center"/>
        <w:rPr>
          <w:rFonts w:asciiTheme="majorHAnsi" w:hAnsiTheme="majorHAnsi" w:cstheme="majorHAnsi"/>
          <w:b/>
          <w:bCs/>
          <w:color w:val="ED7D31" w:themeColor="accent2"/>
        </w:rPr>
      </w:pPr>
      <w:r w:rsidRPr="00AC73C4">
        <w:rPr>
          <w:rFonts w:asciiTheme="majorHAnsi" w:hAnsiTheme="majorHAnsi" w:cstheme="majorHAnsi"/>
          <w:b/>
          <w:bCs/>
          <w:color w:val="ED7D31" w:themeColor="accent2"/>
        </w:rPr>
        <w:t>_______</w:t>
      </w:r>
    </w:p>
    <w:p w14:paraId="7A316A27" w14:textId="50C4AB3F" w:rsidR="00DE5E46" w:rsidRPr="000355C2" w:rsidRDefault="00DE5E46" w:rsidP="000355C2">
      <w:pPr>
        <w:spacing w:line="276" w:lineRule="auto"/>
        <w:jc w:val="both"/>
        <w:rPr>
          <w:rFonts w:asciiTheme="majorHAnsi" w:hAnsiTheme="majorHAnsi" w:cstheme="majorHAnsi"/>
          <w:sz w:val="21"/>
          <w:szCs w:val="21"/>
        </w:rPr>
      </w:pPr>
      <w:r w:rsidRPr="00044E0E">
        <w:rPr>
          <w:rFonts w:asciiTheme="majorHAnsi" w:hAnsiTheme="majorHAnsi" w:cstheme="majorHAnsi"/>
          <w:sz w:val="21"/>
          <w:szCs w:val="21"/>
        </w:rPr>
        <w:t xml:space="preserve">Obserwatorium Polityki Miejskiej to inicjatywa Instytutu Rozwoju Miast i Regionów, </w:t>
      </w:r>
      <w:r>
        <w:rPr>
          <w:rFonts w:asciiTheme="majorHAnsi" w:hAnsiTheme="majorHAnsi" w:cstheme="majorHAnsi"/>
          <w:sz w:val="21"/>
          <w:szCs w:val="21"/>
        </w:rPr>
        <w:t xml:space="preserve">w ramach której prowadzone są </w:t>
      </w:r>
      <w:r w:rsidRPr="00DE5E46">
        <w:rPr>
          <w:rFonts w:asciiTheme="majorHAnsi" w:hAnsiTheme="majorHAnsi" w:cstheme="majorHAnsi"/>
          <w:sz w:val="21"/>
          <w:szCs w:val="21"/>
        </w:rPr>
        <w:t xml:space="preserve">badania </w:t>
      </w:r>
      <w:r>
        <w:rPr>
          <w:rFonts w:asciiTheme="majorHAnsi" w:hAnsiTheme="majorHAnsi" w:cstheme="majorHAnsi"/>
          <w:sz w:val="21"/>
          <w:szCs w:val="21"/>
        </w:rPr>
        <w:t>o</w:t>
      </w:r>
      <w:r w:rsidRPr="00DE5E46">
        <w:rPr>
          <w:rFonts w:asciiTheme="majorHAnsi" w:hAnsiTheme="majorHAnsi" w:cstheme="majorHAnsi"/>
          <w:sz w:val="21"/>
          <w:szCs w:val="21"/>
        </w:rPr>
        <w:t xml:space="preserve"> zmian</w:t>
      </w:r>
      <w:r>
        <w:rPr>
          <w:rFonts w:asciiTheme="majorHAnsi" w:hAnsiTheme="majorHAnsi" w:cstheme="majorHAnsi"/>
          <w:sz w:val="21"/>
          <w:szCs w:val="21"/>
        </w:rPr>
        <w:t>ach, jakie</w:t>
      </w:r>
      <w:r w:rsidRPr="00DE5E46">
        <w:rPr>
          <w:rFonts w:asciiTheme="majorHAnsi" w:hAnsiTheme="majorHAnsi" w:cstheme="majorHAnsi"/>
          <w:sz w:val="21"/>
          <w:szCs w:val="21"/>
        </w:rPr>
        <w:t xml:space="preserve"> dokonują się w polskich miastach</w:t>
      </w:r>
      <w:r w:rsidR="00AC73C4">
        <w:rPr>
          <w:rFonts w:asciiTheme="majorHAnsi" w:hAnsiTheme="majorHAnsi" w:cstheme="majorHAnsi"/>
          <w:sz w:val="21"/>
          <w:szCs w:val="21"/>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tblGrid>
      <w:tr w:rsidR="000355C2" w:rsidRPr="00044E0E" w14:paraId="7A521E02" w14:textId="77777777" w:rsidTr="000355C2">
        <w:tc>
          <w:tcPr>
            <w:tcW w:w="4724" w:type="dxa"/>
          </w:tcPr>
          <w:p w14:paraId="54C2434B" w14:textId="77777777" w:rsidR="000355C2" w:rsidRPr="00044E0E" w:rsidRDefault="000355C2" w:rsidP="00F66BEB">
            <w:pPr>
              <w:spacing w:before="80" w:after="80"/>
              <w:ind w:left="-105"/>
              <w:jc w:val="both"/>
              <w:rPr>
                <w:rFonts w:asciiTheme="majorHAnsi" w:eastAsia="Times New Roman" w:hAnsiTheme="majorHAnsi" w:cstheme="majorHAnsi"/>
                <w:color w:val="333333"/>
                <w:sz w:val="21"/>
                <w:szCs w:val="21"/>
                <w:lang w:eastAsia="pl-PL"/>
              </w:rPr>
            </w:pPr>
            <w:r w:rsidRPr="00044E0E">
              <w:rPr>
                <w:rFonts w:asciiTheme="majorHAnsi" w:hAnsiTheme="majorHAnsi" w:cstheme="majorHAnsi"/>
                <w:b/>
                <w:color w:val="ED7D31"/>
                <w:sz w:val="21"/>
                <w:szCs w:val="21"/>
              </w:rPr>
              <w:t>KONTAKT:</w:t>
            </w:r>
          </w:p>
        </w:tc>
      </w:tr>
      <w:tr w:rsidR="000355C2" w:rsidRPr="00044E0E" w14:paraId="03530358" w14:textId="77777777" w:rsidTr="000355C2">
        <w:trPr>
          <w:trHeight w:val="506"/>
        </w:trPr>
        <w:tc>
          <w:tcPr>
            <w:tcW w:w="4724" w:type="dxa"/>
          </w:tcPr>
          <w:p w14:paraId="3B5622E5" w14:textId="77777777" w:rsidR="000355C2" w:rsidRPr="00044E0E" w:rsidRDefault="000355C2" w:rsidP="00F66BEB">
            <w:pPr>
              <w:ind w:left="-105"/>
              <w:rPr>
                <w:rFonts w:asciiTheme="majorHAnsi" w:hAnsiTheme="majorHAnsi" w:cstheme="majorHAnsi"/>
                <w:sz w:val="21"/>
                <w:szCs w:val="21"/>
              </w:rPr>
            </w:pPr>
            <w:r w:rsidRPr="00044E0E">
              <w:rPr>
                <w:rFonts w:asciiTheme="majorHAnsi" w:hAnsiTheme="majorHAnsi" w:cstheme="majorHAnsi"/>
                <w:b/>
                <w:sz w:val="21"/>
                <w:szCs w:val="21"/>
              </w:rPr>
              <w:t>Karol Janas</w:t>
            </w:r>
            <w:r w:rsidRPr="00044E0E">
              <w:rPr>
                <w:rFonts w:asciiTheme="majorHAnsi" w:hAnsiTheme="majorHAnsi" w:cstheme="majorHAnsi"/>
                <w:sz w:val="21"/>
                <w:szCs w:val="21"/>
              </w:rPr>
              <w:t xml:space="preserve"> </w:t>
            </w:r>
          </w:p>
          <w:p w14:paraId="728581E1" w14:textId="77777777" w:rsidR="000355C2" w:rsidRPr="00044E0E" w:rsidRDefault="000355C2" w:rsidP="00F66BEB">
            <w:pPr>
              <w:ind w:left="-105"/>
              <w:rPr>
                <w:rFonts w:asciiTheme="majorHAnsi" w:hAnsiTheme="majorHAnsi" w:cstheme="majorHAnsi"/>
                <w:sz w:val="21"/>
                <w:szCs w:val="21"/>
              </w:rPr>
            </w:pPr>
            <w:r w:rsidRPr="00044E0E">
              <w:rPr>
                <w:rFonts w:asciiTheme="majorHAnsi" w:hAnsiTheme="majorHAnsi" w:cstheme="majorHAnsi"/>
                <w:sz w:val="21"/>
                <w:szCs w:val="21"/>
              </w:rPr>
              <w:t xml:space="preserve">Kierownik Obserwatorium Polityki Miejskiej </w:t>
            </w:r>
          </w:p>
          <w:p w14:paraId="254B88C0" w14:textId="3EF445F5" w:rsidR="000355C2" w:rsidRPr="000355C2" w:rsidRDefault="000355C2" w:rsidP="000355C2">
            <w:pPr>
              <w:ind w:left="-105"/>
              <w:rPr>
                <w:rFonts w:asciiTheme="majorHAnsi" w:hAnsiTheme="majorHAnsi" w:cstheme="majorHAnsi"/>
                <w:sz w:val="21"/>
                <w:szCs w:val="21"/>
              </w:rPr>
            </w:pPr>
            <w:r w:rsidRPr="00044E0E">
              <w:rPr>
                <w:rFonts w:asciiTheme="majorHAnsi" w:hAnsiTheme="majorHAnsi" w:cstheme="majorHAnsi"/>
                <w:sz w:val="21"/>
                <w:szCs w:val="21"/>
              </w:rPr>
              <w:t>Instytut Rozwoju Miast i Regionów</w:t>
            </w:r>
          </w:p>
        </w:tc>
      </w:tr>
      <w:tr w:rsidR="000355C2" w:rsidRPr="00044E0E" w14:paraId="1771D54C" w14:textId="77777777" w:rsidTr="000355C2">
        <w:trPr>
          <w:trHeight w:val="672"/>
        </w:trPr>
        <w:tc>
          <w:tcPr>
            <w:tcW w:w="4724" w:type="dxa"/>
          </w:tcPr>
          <w:p w14:paraId="416B8FD1" w14:textId="77777777" w:rsidR="000355C2" w:rsidRDefault="000355C2" w:rsidP="00F66BEB">
            <w:pPr>
              <w:ind w:left="-105"/>
              <w:rPr>
                <w:rFonts w:asciiTheme="majorHAnsi" w:hAnsiTheme="majorHAnsi" w:cstheme="majorHAnsi"/>
                <w:sz w:val="21"/>
                <w:szCs w:val="21"/>
                <w:lang w:val="en-US"/>
              </w:rPr>
            </w:pPr>
          </w:p>
          <w:p w14:paraId="22B3FF8B" w14:textId="70CB46E4" w:rsidR="000355C2" w:rsidRPr="00044E0E" w:rsidRDefault="000355C2" w:rsidP="00F66BEB">
            <w:pPr>
              <w:ind w:left="-105"/>
              <w:rPr>
                <w:rFonts w:asciiTheme="majorHAnsi" w:hAnsiTheme="majorHAnsi" w:cstheme="majorHAnsi"/>
                <w:sz w:val="21"/>
                <w:szCs w:val="21"/>
                <w:lang w:val="en-US"/>
              </w:rPr>
            </w:pPr>
            <w:r w:rsidRPr="00044E0E">
              <w:rPr>
                <w:rFonts w:asciiTheme="majorHAnsi" w:hAnsiTheme="majorHAnsi" w:cstheme="majorHAnsi"/>
                <w:sz w:val="21"/>
                <w:szCs w:val="21"/>
                <w:lang w:val="en-US"/>
              </w:rPr>
              <w:t xml:space="preserve">tel.: (+48) 12 634 29 53, </w:t>
            </w:r>
            <w:proofErr w:type="spellStart"/>
            <w:r w:rsidRPr="00044E0E">
              <w:rPr>
                <w:rFonts w:asciiTheme="majorHAnsi" w:hAnsiTheme="majorHAnsi" w:cstheme="majorHAnsi"/>
                <w:sz w:val="21"/>
                <w:szCs w:val="21"/>
                <w:lang w:val="en-US"/>
              </w:rPr>
              <w:t>wew</w:t>
            </w:r>
            <w:proofErr w:type="spellEnd"/>
            <w:r w:rsidRPr="00044E0E">
              <w:rPr>
                <w:rFonts w:asciiTheme="majorHAnsi" w:hAnsiTheme="majorHAnsi" w:cstheme="majorHAnsi"/>
                <w:sz w:val="21"/>
                <w:szCs w:val="21"/>
                <w:lang w:val="en-US"/>
              </w:rPr>
              <w:t xml:space="preserve">. 21 </w:t>
            </w:r>
          </w:p>
          <w:p w14:paraId="6E5F304B" w14:textId="40F4B920" w:rsidR="000355C2" w:rsidRPr="00044E0E" w:rsidRDefault="000355C2" w:rsidP="00F66BEB">
            <w:pPr>
              <w:ind w:left="-105"/>
              <w:rPr>
                <w:rFonts w:asciiTheme="majorHAnsi" w:hAnsiTheme="majorHAnsi" w:cstheme="majorHAnsi"/>
                <w:sz w:val="21"/>
                <w:szCs w:val="21"/>
                <w:lang w:val="en-US"/>
              </w:rPr>
            </w:pPr>
            <w:r w:rsidRPr="00044E0E">
              <w:rPr>
                <w:rFonts w:asciiTheme="majorHAnsi" w:hAnsiTheme="majorHAnsi" w:cstheme="majorHAnsi"/>
                <w:sz w:val="21"/>
                <w:szCs w:val="21"/>
                <w:lang w:val="en-US"/>
              </w:rPr>
              <w:t>e-mail: kjanas@irm</w:t>
            </w:r>
            <w:r>
              <w:rPr>
                <w:rFonts w:asciiTheme="majorHAnsi" w:hAnsiTheme="majorHAnsi" w:cstheme="majorHAnsi"/>
                <w:sz w:val="21"/>
                <w:szCs w:val="21"/>
                <w:lang w:val="en-US"/>
              </w:rPr>
              <w:t>ir.pl</w:t>
            </w:r>
            <w:r w:rsidRPr="00044E0E">
              <w:rPr>
                <w:rFonts w:asciiTheme="majorHAnsi" w:hAnsiTheme="majorHAnsi" w:cstheme="majorHAnsi"/>
                <w:sz w:val="21"/>
                <w:szCs w:val="21"/>
                <w:lang w:val="en-US"/>
              </w:rPr>
              <w:t xml:space="preserve"> </w:t>
            </w:r>
          </w:p>
        </w:tc>
      </w:tr>
    </w:tbl>
    <w:p w14:paraId="4368A78A" w14:textId="77777777" w:rsidR="008E0523" w:rsidRPr="00DD5E66" w:rsidRDefault="008E0523" w:rsidP="000355C2">
      <w:pPr>
        <w:jc w:val="both"/>
        <w:rPr>
          <w:rFonts w:asciiTheme="majorHAnsi" w:hAnsiTheme="majorHAnsi" w:cstheme="majorHAnsi"/>
        </w:rPr>
      </w:pPr>
    </w:p>
    <w:sectPr w:rsidR="008E0523" w:rsidRPr="00DD5E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DE467" w14:textId="77777777" w:rsidR="00AA2821" w:rsidRDefault="00AA2821" w:rsidP="000A7EED">
      <w:pPr>
        <w:spacing w:after="0" w:line="240" w:lineRule="auto"/>
      </w:pPr>
      <w:r>
        <w:separator/>
      </w:r>
    </w:p>
  </w:endnote>
  <w:endnote w:type="continuationSeparator" w:id="0">
    <w:p w14:paraId="4B48C063" w14:textId="77777777" w:rsidR="00AA2821" w:rsidRDefault="00AA2821" w:rsidP="000A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Karmina-Regula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16DBA" w14:textId="77777777" w:rsidR="00AA2821" w:rsidRDefault="00AA2821" w:rsidP="000A7EED">
      <w:pPr>
        <w:spacing w:after="0" w:line="240" w:lineRule="auto"/>
      </w:pPr>
      <w:r>
        <w:separator/>
      </w:r>
    </w:p>
  </w:footnote>
  <w:footnote w:type="continuationSeparator" w:id="0">
    <w:p w14:paraId="31A7D204" w14:textId="77777777" w:rsidR="00AA2821" w:rsidRDefault="00AA2821" w:rsidP="000A7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07F39"/>
    <w:multiLevelType w:val="hybridMultilevel"/>
    <w:tmpl w:val="1660D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6F43277"/>
    <w:multiLevelType w:val="hybridMultilevel"/>
    <w:tmpl w:val="209ECDDE"/>
    <w:lvl w:ilvl="0" w:tplc="5420E16C">
      <w:start w:val="1"/>
      <w:numFmt w:val="bullet"/>
      <w:pStyle w:val="Akapitzlis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7CAD57A8"/>
    <w:multiLevelType w:val="hybridMultilevel"/>
    <w:tmpl w:val="1C483B60"/>
    <w:lvl w:ilvl="0" w:tplc="3A02ACB6">
      <w:start w:val="1"/>
      <w:numFmt w:val="bullet"/>
      <w:lvlText w:val=""/>
      <w:lvlJc w:val="left"/>
      <w:pPr>
        <w:ind w:left="360" w:hanging="360"/>
      </w:pPr>
      <w:rPr>
        <w:rFonts w:ascii="Symbol" w:hAnsi="Symbol" w:hint="default"/>
        <w:b w:val="0"/>
        <w:i w:val="0"/>
        <w:strike w:val="0"/>
        <w:dstrike w:val="0"/>
        <w:color w:val="000000"/>
        <w:sz w:val="24"/>
        <w:szCs w:val="24"/>
        <w:u w:val="none" w:color="000000"/>
        <w:effect w:val="none"/>
        <w:vertAlign w:val="baselin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97"/>
    <w:rsid w:val="000355C2"/>
    <w:rsid w:val="00076454"/>
    <w:rsid w:val="00086554"/>
    <w:rsid w:val="000A7EED"/>
    <w:rsid w:val="000D5A46"/>
    <w:rsid w:val="00127BF9"/>
    <w:rsid w:val="002E3C40"/>
    <w:rsid w:val="00351D72"/>
    <w:rsid w:val="00425C70"/>
    <w:rsid w:val="00437D14"/>
    <w:rsid w:val="005435A5"/>
    <w:rsid w:val="00565BC6"/>
    <w:rsid w:val="005D0E73"/>
    <w:rsid w:val="0063785D"/>
    <w:rsid w:val="00643BAC"/>
    <w:rsid w:val="007D7D74"/>
    <w:rsid w:val="00854901"/>
    <w:rsid w:val="00856D9C"/>
    <w:rsid w:val="008D2CE7"/>
    <w:rsid w:val="008E0523"/>
    <w:rsid w:val="00910D0A"/>
    <w:rsid w:val="009552F7"/>
    <w:rsid w:val="009A407D"/>
    <w:rsid w:val="00A13E20"/>
    <w:rsid w:val="00A230AD"/>
    <w:rsid w:val="00A45DB3"/>
    <w:rsid w:val="00AA2821"/>
    <w:rsid w:val="00AC73C4"/>
    <w:rsid w:val="00AD7588"/>
    <w:rsid w:val="00AE1D2F"/>
    <w:rsid w:val="00B03197"/>
    <w:rsid w:val="00B22C08"/>
    <w:rsid w:val="00B363BB"/>
    <w:rsid w:val="00B6096A"/>
    <w:rsid w:val="00BC3DF1"/>
    <w:rsid w:val="00C1690D"/>
    <w:rsid w:val="00C64D66"/>
    <w:rsid w:val="00CB3E05"/>
    <w:rsid w:val="00D04E1E"/>
    <w:rsid w:val="00D1521A"/>
    <w:rsid w:val="00D7697B"/>
    <w:rsid w:val="00DB6559"/>
    <w:rsid w:val="00DD5E66"/>
    <w:rsid w:val="00DE5E46"/>
    <w:rsid w:val="00E17BAA"/>
    <w:rsid w:val="00E338DF"/>
    <w:rsid w:val="00E8026F"/>
    <w:rsid w:val="00E97A2E"/>
    <w:rsid w:val="00F20DFA"/>
    <w:rsid w:val="00F246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2B52"/>
  <w15:chartTrackingRefBased/>
  <w15:docId w15:val="{D0715C11-34A9-4DFC-9539-03C5A353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B031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03197"/>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B031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0A7EED"/>
    <w:pPr>
      <w:spacing w:after="0" w:line="240" w:lineRule="auto"/>
      <w:jc w:val="both"/>
    </w:pPr>
    <w:rPr>
      <w:rFonts w:ascii="Calibri" w:eastAsia="Calibri" w:hAnsi="Calibri" w:cs="Calibri"/>
      <w:sz w:val="20"/>
      <w:szCs w:val="20"/>
      <w:lang w:eastAsia="pl-PL"/>
    </w:rPr>
  </w:style>
  <w:style w:type="character" w:customStyle="1" w:styleId="TekstprzypisudolnegoZnak">
    <w:name w:val="Tekst przypisu dolnego Znak"/>
    <w:basedOn w:val="Domylnaczcionkaakapitu"/>
    <w:link w:val="Tekstprzypisudolnego"/>
    <w:uiPriority w:val="99"/>
    <w:semiHidden/>
    <w:rsid w:val="000A7EED"/>
    <w:rPr>
      <w:rFonts w:ascii="Calibri" w:eastAsia="Calibri" w:hAnsi="Calibri" w:cs="Calibri"/>
      <w:sz w:val="20"/>
      <w:szCs w:val="20"/>
      <w:lang w:eastAsia="pl-PL"/>
    </w:rPr>
  </w:style>
  <w:style w:type="character" w:styleId="Odwoanieprzypisudolnego">
    <w:name w:val="footnote reference"/>
    <w:basedOn w:val="Domylnaczcionkaakapitu"/>
    <w:uiPriority w:val="99"/>
    <w:semiHidden/>
    <w:unhideWhenUsed/>
    <w:rsid w:val="000A7EED"/>
    <w:rPr>
      <w:vertAlign w:val="superscript"/>
    </w:rPr>
  </w:style>
  <w:style w:type="paragraph" w:styleId="Akapitzlist">
    <w:name w:val="List Paragraph"/>
    <w:basedOn w:val="Normalny"/>
    <w:autoRedefine/>
    <w:uiPriority w:val="34"/>
    <w:qFormat/>
    <w:rsid w:val="00076454"/>
    <w:pPr>
      <w:numPr>
        <w:numId w:val="1"/>
      </w:numPr>
      <w:spacing w:after="120" w:line="276" w:lineRule="auto"/>
      <w:jc w:val="both"/>
    </w:pPr>
    <w:rPr>
      <w:rFonts w:ascii="Calibri" w:eastAsia="Arial" w:hAnsi="Calibri" w:cstheme="majorHAnsi"/>
      <w:lang w:eastAsia="pl-PL"/>
    </w:rPr>
  </w:style>
  <w:style w:type="character" w:styleId="Wyrnienieintensywne">
    <w:name w:val="Intense Emphasis"/>
    <w:basedOn w:val="Domylnaczcionkaakapitu"/>
    <w:uiPriority w:val="21"/>
    <w:qFormat/>
    <w:rsid w:val="007D7D74"/>
    <w:rPr>
      <w:i/>
      <w:iCs/>
      <w:color w:val="4472C4" w:themeColor="accent1"/>
    </w:rPr>
  </w:style>
  <w:style w:type="character" w:customStyle="1" w:styleId="fontstyle01">
    <w:name w:val="fontstyle01"/>
    <w:basedOn w:val="Domylnaczcionkaakapitu"/>
    <w:rsid w:val="00910D0A"/>
    <w:rPr>
      <w:rFonts w:ascii="Karmina-Regular" w:hAnsi="Karmina-Regular" w:hint="default"/>
      <w:b w:val="0"/>
      <w:bCs w:val="0"/>
      <w:i w:val="0"/>
      <w:iCs w:val="0"/>
      <w:color w:val="242021"/>
      <w:sz w:val="22"/>
      <w:szCs w:val="22"/>
    </w:rPr>
  </w:style>
  <w:style w:type="character" w:customStyle="1" w:styleId="Pogrubienie1">
    <w:name w:val="Pogrubienie1"/>
    <w:basedOn w:val="Domylnaczcionkaakapitu"/>
    <w:uiPriority w:val="1"/>
    <w:qFormat/>
    <w:rsid w:val="00910D0A"/>
    <w:rPr>
      <w:rFonts w:ascii="Times New Roman" w:hAnsi="Times New Roman"/>
      <w:b/>
      <w:color w:val="70AD47" w:themeColor="accent6"/>
    </w:rPr>
  </w:style>
  <w:style w:type="table" w:styleId="Tabela-Siatka">
    <w:name w:val="Table Grid"/>
    <w:basedOn w:val="Standardowy"/>
    <w:uiPriority w:val="59"/>
    <w:rsid w:val="00DE5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4099">
      <w:bodyDiv w:val="1"/>
      <w:marLeft w:val="0"/>
      <w:marRight w:val="0"/>
      <w:marTop w:val="0"/>
      <w:marBottom w:val="0"/>
      <w:divBdr>
        <w:top w:val="none" w:sz="0" w:space="0" w:color="auto"/>
        <w:left w:val="none" w:sz="0" w:space="0" w:color="auto"/>
        <w:bottom w:val="none" w:sz="0" w:space="0" w:color="auto"/>
        <w:right w:val="none" w:sz="0" w:space="0" w:color="auto"/>
      </w:divBdr>
    </w:div>
    <w:div w:id="292952399">
      <w:bodyDiv w:val="1"/>
      <w:marLeft w:val="0"/>
      <w:marRight w:val="0"/>
      <w:marTop w:val="0"/>
      <w:marBottom w:val="0"/>
      <w:divBdr>
        <w:top w:val="none" w:sz="0" w:space="0" w:color="auto"/>
        <w:left w:val="none" w:sz="0" w:space="0" w:color="auto"/>
        <w:bottom w:val="none" w:sz="0" w:space="0" w:color="auto"/>
        <w:right w:val="none" w:sz="0" w:space="0" w:color="auto"/>
      </w:divBdr>
    </w:div>
    <w:div w:id="301737353">
      <w:bodyDiv w:val="1"/>
      <w:marLeft w:val="0"/>
      <w:marRight w:val="0"/>
      <w:marTop w:val="0"/>
      <w:marBottom w:val="0"/>
      <w:divBdr>
        <w:top w:val="none" w:sz="0" w:space="0" w:color="auto"/>
        <w:left w:val="none" w:sz="0" w:space="0" w:color="auto"/>
        <w:bottom w:val="none" w:sz="0" w:space="0" w:color="auto"/>
        <w:right w:val="none" w:sz="0" w:space="0" w:color="auto"/>
      </w:divBdr>
    </w:div>
    <w:div w:id="389157995">
      <w:bodyDiv w:val="1"/>
      <w:marLeft w:val="0"/>
      <w:marRight w:val="0"/>
      <w:marTop w:val="0"/>
      <w:marBottom w:val="0"/>
      <w:divBdr>
        <w:top w:val="none" w:sz="0" w:space="0" w:color="auto"/>
        <w:left w:val="none" w:sz="0" w:space="0" w:color="auto"/>
        <w:bottom w:val="none" w:sz="0" w:space="0" w:color="auto"/>
        <w:right w:val="none" w:sz="0" w:space="0" w:color="auto"/>
      </w:divBdr>
    </w:div>
    <w:div w:id="441144267">
      <w:bodyDiv w:val="1"/>
      <w:marLeft w:val="0"/>
      <w:marRight w:val="0"/>
      <w:marTop w:val="0"/>
      <w:marBottom w:val="0"/>
      <w:divBdr>
        <w:top w:val="none" w:sz="0" w:space="0" w:color="auto"/>
        <w:left w:val="none" w:sz="0" w:space="0" w:color="auto"/>
        <w:bottom w:val="none" w:sz="0" w:space="0" w:color="auto"/>
        <w:right w:val="none" w:sz="0" w:space="0" w:color="auto"/>
      </w:divBdr>
    </w:div>
    <w:div w:id="806748584">
      <w:bodyDiv w:val="1"/>
      <w:marLeft w:val="0"/>
      <w:marRight w:val="0"/>
      <w:marTop w:val="0"/>
      <w:marBottom w:val="0"/>
      <w:divBdr>
        <w:top w:val="none" w:sz="0" w:space="0" w:color="auto"/>
        <w:left w:val="none" w:sz="0" w:space="0" w:color="auto"/>
        <w:bottom w:val="none" w:sz="0" w:space="0" w:color="auto"/>
        <w:right w:val="none" w:sz="0" w:space="0" w:color="auto"/>
      </w:divBdr>
    </w:div>
    <w:div w:id="1069379437">
      <w:bodyDiv w:val="1"/>
      <w:marLeft w:val="0"/>
      <w:marRight w:val="0"/>
      <w:marTop w:val="0"/>
      <w:marBottom w:val="0"/>
      <w:divBdr>
        <w:top w:val="none" w:sz="0" w:space="0" w:color="auto"/>
        <w:left w:val="none" w:sz="0" w:space="0" w:color="auto"/>
        <w:bottom w:val="none" w:sz="0" w:space="0" w:color="auto"/>
        <w:right w:val="none" w:sz="0" w:space="0" w:color="auto"/>
      </w:divBdr>
    </w:div>
    <w:div w:id="1206213617">
      <w:bodyDiv w:val="1"/>
      <w:marLeft w:val="0"/>
      <w:marRight w:val="0"/>
      <w:marTop w:val="0"/>
      <w:marBottom w:val="0"/>
      <w:divBdr>
        <w:top w:val="none" w:sz="0" w:space="0" w:color="auto"/>
        <w:left w:val="none" w:sz="0" w:space="0" w:color="auto"/>
        <w:bottom w:val="none" w:sz="0" w:space="0" w:color="auto"/>
        <w:right w:val="none" w:sz="0" w:space="0" w:color="auto"/>
      </w:divBdr>
    </w:div>
    <w:div w:id="1351566999">
      <w:bodyDiv w:val="1"/>
      <w:marLeft w:val="0"/>
      <w:marRight w:val="0"/>
      <w:marTop w:val="0"/>
      <w:marBottom w:val="0"/>
      <w:divBdr>
        <w:top w:val="none" w:sz="0" w:space="0" w:color="auto"/>
        <w:left w:val="none" w:sz="0" w:space="0" w:color="auto"/>
        <w:bottom w:val="none" w:sz="0" w:space="0" w:color="auto"/>
        <w:right w:val="none" w:sz="0" w:space="0" w:color="auto"/>
      </w:divBdr>
    </w:div>
    <w:div w:id="1583300231">
      <w:bodyDiv w:val="1"/>
      <w:marLeft w:val="0"/>
      <w:marRight w:val="0"/>
      <w:marTop w:val="0"/>
      <w:marBottom w:val="0"/>
      <w:divBdr>
        <w:top w:val="none" w:sz="0" w:space="0" w:color="auto"/>
        <w:left w:val="none" w:sz="0" w:space="0" w:color="auto"/>
        <w:bottom w:val="none" w:sz="0" w:space="0" w:color="auto"/>
        <w:right w:val="none" w:sz="0" w:space="0" w:color="auto"/>
      </w:divBdr>
    </w:div>
    <w:div w:id="1776899930">
      <w:bodyDiv w:val="1"/>
      <w:marLeft w:val="0"/>
      <w:marRight w:val="0"/>
      <w:marTop w:val="0"/>
      <w:marBottom w:val="0"/>
      <w:divBdr>
        <w:top w:val="none" w:sz="0" w:space="0" w:color="auto"/>
        <w:left w:val="none" w:sz="0" w:space="0" w:color="auto"/>
        <w:bottom w:val="none" w:sz="0" w:space="0" w:color="auto"/>
        <w:right w:val="none" w:sz="0" w:space="0" w:color="auto"/>
      </w:divBdr>
    </w:div>
    <w:div w:id="1830318826">
      <w:bodyDiv w:val="1"/>
      <w:marLeft w:val="0"/>
      <w:marRight w:val="0"/>
      <w:marTop w:val="0"/>
      <w:marBottom w:val="0"/>
      <w:divBdr>
        <w:top w:val="none" w:sz="0" w:space="0" w:color="auto"/>
        <w:left w:val="none" w:sz="0" w:space="0" w:color="auto"/>
        <w:bottom w:val="none" w:sz="0" w:space="0" w:color="auto"/>
        <w:right w:val="none" w:sz="0" w:space="0" w:color="auto"/>
      </w:divBdr>
    </w:div>
    <w:div w:id="1894730145">
      <w:bodyDiv w:val="1"/>
      <w:marLeft w:val="0"/>
      <w:marRight w:val="0"/>
      <w:marTop w:val="0"/>
      <w:marBottom w:val="0"/>
      <w:divBdr>
        <w:top w:val="none" w:sz="0" w:space="0" w:color="auto"/>
        <w:left w:val="none" w:sz="0" w:space="0" w:color="auto"/>
        <w:bottom w:val="none" w:sz="0" w:space="0" w:color="auto"/>
        <w:right w:val="none" w:sz="0" w:space="0" w:color="auto"/>
      </w:divBdr>
    </w:div>
    <w:div w:id="1996451059">
      <w:bodyDiv w:val="1"/>
      <w:marLeft w:val="0"/>
      <w:marRight w:val="0"/>
      <w:marTop w:val="0"/>
      <w:marBottom w:val="0"/>
      <w:divBdr>
        <w:top w:val="none" w:sz="0" w:space="0" w:color="auto"/>
        <w:left w:val="none" w:sz="0" w:space="0" w:color="auto"/>
        <w:bottom w:val="none" w:sz="0" w:space="0" w:color="auto"/>
        <w:right w:val="none" w:sz="0" w:space="0" w:color="auto"/>
      </w:divBdr>
    </w:div>
    <w:div w:id="203884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1504</Words>
  <Characters>9029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b2.opm</dc:creator>
  <cp:keywords/>
  <dc:description/>
  <cp:lastModifiedBy>b2.opm</cp:lastModifiedBy>
  <cp:revision>1</cp:revision>
  <dcterms:created xsi:type="dcterms:W3CDTF">2020-07-27T08:03:00Z</dcterms:created>
  <dcterms:modified xsi:type="dcterms:W3CDTF">2020-07-27T12:55:00Z</dcterms:modified>
</cp:coreProperties>
</file>