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9230C4">
        <w:rPr>
          <w:rFonts w:asciiTheme="majorHAnsi" w:hAnsiTheme="majorHAnsi" w:cstheme="majorHAnsi"/>
          <w:color w:val="ED7D31"/>
          <w:sz w:val="24"/>
          <w:szCs w:val="24"/>
          <w:shd w:val="clear" w:color="auto" w:fill="FFFFFF"/>
        </w:rPr>
        <w:t>ZARZĄDZANIE I WSPÓŁPRACA W MIEJSKICH OBSZARACH FUNKCJONALNYCH</w:t>
      </w:r>
      <w:r w:rsidR="003111A5">
        <w:rPr>
          <w:rFonts w:asciiTheme="majorHAnsi" w:hAnsiTheme="majorHAnsi" w:cstheme="majorHAnsi"/>
          <w:color w:val="ED7D31"/>
          <w:sz w:val="24"/>
          <w:szCs w:val="24"/>
          <w:shd w:val="clear" w:color="auto" w:fill="FFFFFF"/>
        </w:rPr>
        <w:t>.</w:t>
      </w:r>
      <w:r w:rsidR="003111A5">
        <w:rPr>
          <w:rFonts w:asciiTheme="majorHAnsi" w:hAnsiTheme="majorHAnsi" w:cstheme="majorHAnsi"/>
          <w:color w:val="ED7D31"/>
          <w:sz w:val="24"/>
          <w:szCs w:val="24"/>
          <w:shd w:val="clear" w:color="auto" w:fill="FFFFFF"/>
        </w:rPr>
        <w:br/>
      </w:r>
      <w:r w:rsidR="003111A5" w:rsidRPr="009230C4"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9230C4" w:rsidRPr="009230C4" w:rsidRDefault="009230C4" w:rsidP="001F55A8">
      <w:pPr>
        <w:pStyle w:val="Pierwszyakapit"/>
      </w:pPr>
    </w:p>
    <w:p w:rsidR="0039467C" w:rsidRPr="0060707E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60707E">
        <w:rPr>
          <w:rFonts w:asciiTheme="minorHAnsi" w:hAnsiTheme="minorHAnsi" w:cstheme="minorHAnsi"/>
          <w:sz w:val="23"/>
          <w:szCs w:val="23"/>
        </w:rPr>
        <w:t>Właściwe zarządzanie obszarami funkcjonalnymi dużych aglomeracji miejskich należy do największych i najtrudniejszych wyzwań, jakie stoją przed polską administracją publiczną. Jak sobie z tym radzą samorządy? Najnowszy raport Obserwatorium Polityki Miejskiej IRM został poświęcony właśnie temu zagadnieniu.</w:t>
      </w:r>
      <w:r w:rsidR="00F730F9">
        <w:rPr>
          <w:rFonts w:asciiTheme="minorHAnsi" w:hAnsiTheme="minorHAnsi" w:cstheme="minorHAnsi"/>
          <w:sz w:val="23"/>
          <w:szCs w:val="23"/>
        </w:rPr>
        <w:t xml:space="preserve"> Zielona Góra na tle innych ośrodków nie wypada dobrze. Duży wpływ na to miało powiększenie miasta w 2015 roku.</w:t>
      </w:r>
      <w:bookmarkStart w:id="0" w:name="_GoBack"/>
      <w:bookmarkEnd w:id="0"/>
    </w:p>
    <w:p w:rsidR="001131E1" w:rsidRPr="0060707E" w:rsidRDefault="00335105" w:rsidP="00DA073E">
      <w:pPr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60707E">
        <w:rPr>
          <w:rFonts w:cstheme="minorHAnsi"/>
          <w:sz w:val="23"/>
          <w:szCs w:val="23"/>
        </w:rPr>
        <w:t xml:space="preserve">przyjętej w 2015 roku </w:t>
      </w:r>
      <w:r w:rsidRPr="0060707E">
        <w:rPr>
          <w:rFonts w:cstheme="minorHAnsi"/>
          <w:sz w:val="23"/>
          <w:szCs w:val="23"/>
        </w:rPr>
        <w:t xml:space="preserve">Krajowej Polityce Miejskiej. Stąd też pomysł na opracowanie raportu, którego zadaniem z jednej strony jest diagnoza stanu współpracy międzysamorządowej, </w:t>
      </w:r>
      <w:r w:rsidR="00476172" w:rsidRPr="0060707E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60707E">
        <w:rPr>
          <w:rFonts w:cstheme="minorHAnsi"/>
          <w:sz w:val="23"/>
          <w:szCs w:val="23"/>
        </w:rPr>
        <w:t xml:space="preserve">Podzielone zostały </w:t>
      </w:r>
      <w:r w:rsidR="004668E9" w:rsidRPr="0060707E">
        <w:rPr>
          <w:rFonts w:cstheme="minorHAnsi"/>
          <w:sz w:val="23"/>
          <w:szCs w:val="23"/>
        </w:rPr>
        <w:t xml:space="preserve">one </w:t>
      </w:r>
      <w:r w:rsidR="001131E1" w:rsidRPr="0060707E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60707E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>Zakres raportu</w:t>
      </w:r>
    </w:p>
    <w:p w:rsidR="00476172" w:rsidRPr="0060707E" w:rsidRDefault="00476172" w:rsidP="00DA073E">
      <w:pPr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60707E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60707E">
        <w:rPr>
          <w:rFonts w:cstheme="minorHAnsi"/>
          <w:sz w:val="23"/>
          <w:szCs w:val="23"/>
        </w:rPr>
        <w:t xml:space="preserve"> (MOF)</w:t>
      </w:r>
      <w:r w:rsidR="00D61BF4" w:rsidRPr="0060707E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762BE4" w:rsidRPr="0060707E">
        <w:rPr>
          <w:rFonts w:cstheme="minorHAnsi"/>
          <w:sz w:val="23"/>
          <w:szCs w:val="23"/>
        </w:rPr>
        <w:t xml:space="preserve">. </w:t>
      </w:r>
      <w:r w:rsidR="001131E1" w:rsidRPr="0060707E">
        <w:rPr>
          <w:rFonts w:cstheme="minorHAnsi"/>
          <w:sz w:val="23"/>
          <w:szCs w:val="23"/>
        </w:rPr>
        <w:t>Dr</w:t>
      </w:r>
      <w:r w:rsidR="00E707D0" w:rsidRPr="0060707E">
        <w:rPr>
          <w:rFonts w:cstheme="minorHAnsi"/>
          <w:sz w:val="23"/>
          <w:szCs w:val="23"/>
        </w:rPr>
        <w:t xml:space="preserve">uga cześć raportu zatytułowana </w:t>
      </w:r>
      <w:r w:rsidR="00E707D0" w:rsidRPr="0060707E">
        <w:rPr>
          <w:rFonts w:cstheme="minorHAnsi"/>
          <w:i/>
          <w:sz w:val="23"/>
          <w:szCs w:val="23"/>
        </w:rPr>
        <w:t>spojrzenie w głąb</w:t>
      </w:r>
      <w:r w:rsidR="001131E1" w:rsidRPr="0060707E">
        <w:rPr>
          <w:rFonts w:cstheme="minorHAnsi"/>
          <w:sz w:val="23"/>
          <w:szCs w:val="23"/>
        </w:rPr>
        <w:t xml:space="preserve"> porusza kwestie uwarunkowań współpracy międzysamorządowej w MOF-ach, w tym  mechanizmów sprzyjających jej rozwojowi oraz barier utrudniających współdziałanie.</w:t>
      </w:r>
    </w:p>
    <w:p w:rsidR="003B3ED5" w:rsidRPr="0060707E" w:rsidRDefault="003B3ED5" w:rsidP="00DA073E">
      <w:pPr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 xml:space="preserve">Kluczowe wnioski </w:t>
      </w:r>
      <w:r w:rsidR="005179EF" w:rsidRPr="0060707E">
        <w:rPr>
          <w:rFonts w:cstheme="minorHAnsi"/>
          <w:b/>
          <w:sz w:val="23"/>
          <w:szCs w:val="23"/>
        </w:rPr>
        <w:t xml:space="preserve">z raportu </w:t>
      </w:r>
      <w:r w:rsidR="00821586" w:rsidRPr="0060707E">
        <w:rPr>
          <w:rFonts w:cstheme="minorHAnsi"/>
          <w:b/>
          <w:sz w:val="23"/>
          <w:szCs w:val="23"/>
        </w:rPr>
        <w:t>dotyczące</w:t>
      </w:r>
      <w:r w:rsidRPr="0060707E">
        <w:rPr>
          <w:rFonts w:cstheme="minorHAnsi"/>
          <w:b/>
          <w:sz w:val="23"/>
          <w:szCs w:val="23"/>
        </w:rPr>
        <w:t xml:space="preserve"> </w:t>
      </w:r>
      <w:r w:rsidR="002E4779" w:rsidRPr="0060707E">
        <w:rPr>
          <w:rFonts w:cstheme="minorHAnsi"/>
          <w:b/>
          <w:sz w:val="23"/>
          <w:szCs w:val="23"/>
        </w:rPr>
        <w:t xml:space="preserve">MOF-u </w:t>
      </w:r>
      <w:r w:rsidR="00EF6FD4" w:rsidRPr="0060707E">
        <w:rPr>
          <w:rFonts w:cstheme="minorHAnsi"/>
          <w:b/>
          <w:sz w:val="23"/>
          <w:szCs w:val="23"/>
        </w:rPr>
        <w:t>Zielonej Góry</w:t>
      </w:r>
    </w:p>
    <w:p w:rsidR="006D3A9B" w:rsidRPr="0060707E" w:rsidRDefault="006D3A9B" w:rsidP="006D3A9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60707E">
        <w:rPr>
          <w:rFonts w:cstheme="minorHAnsi"/>
          <w:b/>
          <w:color w:val="ED7D31" w:themeColor="accent2"/>
          <w:sz w:val="23"/>
          <w:szCs w:val="23"/>
        </w:rPr>
        <w:t>Współpraca przez wchłanianie</w:t>
      </w:r>
    </w:p>
    <w:p w:rsidR="006A1CC3" w:rsidRPr="0060707E" w:rsidRDefault="006D3A9B" w:rsidP="006A1CC3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Zielona Góra należy do nielicznej grupy ośrodków,</w:t>
      </w:r>
      <w:r w:rsidRPr="0060707E">
        <w:rPr>
          <w:rFonts w:cstheme="minorHAnsi"/>
          <w:b/>
          <w:sz w:val="23"/>
          <w:szCs w:val="23"/>
        </w:rPr>
        <w:t xml:space="preserve"> </w:t>
      </w:r>
      <w:r w:rsidRPr="0060707E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>które problem integracji obszarów powiązanych funkcjonalnie</w:t>
      </w:r>
      <w:r w:rsidRPr="0060707E">
        <w:rPr>
          <w:rFonts w:cstheme="minorHAnsi"/>
          <w:sz w:val="23"/>
          <w:szCs w:val="23"/>
        </w:rPr>
        <w:t xml:space="preserve"> </w:t>
      </w:r>
      <w:r w:rsidRPr="0060707E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 xml:space="preserve">postanowiły rozwiązać nie na drodze współpracy, ale poprzez włączanie sąsiednich gmin lub ich części w swoje granice administracyjne. </w:t>
      </w:r>
      <w:r w:rsidR="006A1CC3" w:rsidRPr="0060707E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 xml:space="preserve">Zielona Góra jest rekordzistą w tym temacie. W </w:t>
      </w:r>
      <w:r w:rsidR="006A1CC3" w:rsidRPr="0060707E">
        <w:rPr>
          <w:rFonts w:cstheme="minorHAnsi"/>
          <w:color w:val="1A1A18"/>
          <w:sz w:val="23"/>
          <w:szCs w:val="23"/>
        </w:rPr>
        <w:t xml:space="preserve">2015 roku została ona powiększona niemal </w:t>
      </w:r>
      <w:r w:rsidR="006A1CC3" w:rsidRPr="0060707E">
        <w:rPr>
          <w:rFonts w:cstheme="minorHAnsi"/>
          <w:color w:val="1A1A18"/>
          <w:sz w:val="23"/>
          <w:szCs w:val="23"/>
        </w:rPr>
        <w:br/>
        <w:t>pięciokrotne - z 58,34 km</w:t>
      </w:r>
      <w:r w:rsidR="006A1CC3" w:rsidRPr="0060707E">
        <w:rPr>
          <w:rFonts w:cstheme="minorHAnsi"/>
          <w:color w:val="1A1A18"/>
          <w:sz w:val="23"/>
          <w:szCs w:val="23"/>
          <w:vertAlign w:val="superscript"/>
        </w:rPr>
        <w:t>2</w:t>
      </w:r>
      <w:r w:rsidR="006A1CC3" w:rsidRPr="0060707E">
        <w:rPr>
          <w:rFonts w:cstheme="minorHAnsi"/>
          <w:color w:val="1A1A18"/>
          <w:sz w:val="23"/>
          <w:szCs w:val="23"/>
        </w:rPr>
        <w:t xml:space="preserve"> do 278,79 km</w:t>
      </w:r>
      <w:r w:rsidR="006A1CC3" w:rsidRPr="0060707E">
        <w:rPr>
          <w:rFonts w:cstheme="minorHAnsi"/>
          <w:color w:val="1A1A18"/>
          <w:sz w:val="23"/>
          <w:szCs w:val="23"/>
          <w:vertAlign w:val="superscript"/>
        </w:rPr>
        <w:t>2</w:t>
      </w:r>
      <w:r w:rsidR="006A1CC3" w:rsidRPr="0060707E">
        <w:rPr>
          <w:rFonts w:cstheme="minorHAnsi"/>
          <w:color w:val="1A1A18"/>
          <w:sz w:val="23"/>
          <w:szCs w:val="23"/>
        </w:rPr>
        <w:t>.</w:t>
      </w:r>
    </w:p>
    <w:p w:rsidR="006D3A9B" w:rsidRDefault="006D3A9B" w:rsidP="006A1CC3">
      <w:pPr>
        <w:pStyle w:val="Akapitzlist"/>
        <w:jc w:val="both"/>
        <w:rPr>
          <w:rStyle w:val="fontstyle01"/>
          <w:rFonts w:asciiTheme="minorHAnsi" w:hAnsiTheme="minorHAnsi" w:cstheme="minorHAnsi"/>
          <w:color w:val="auto"/>
          <w:sz w:val="23"/>
          <w:szCs w:val="23"/>
        </w:rPr>
      </w:pPr>
      <w:r w:rsidRPr="0060707E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>Takie działanie nie jest jednak rekomendowane, ponieważ pogarsza relacje miasta centralnego z gminami ościennymi, które mogą obawiać się utraty podmiotowości. Tendencja do „wchłaniania” swojego obszaru funkcjonalnego raczej nie jest obserwowana w przypadku większych miast. Można powiedzieć, że miasta przekonane o swojej sile nie dążą do jej nadużywania w relacjach ze słabszymi partnerami.</w:t>
      </w:r>
      <w:r w:rsidR="006A1CC3" w:rsidRPr="0060707E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60707E" w:rsidRPr="0060707E" w:rsidRDefault="0060707E" w:rsidP="0060707E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>
        <w:rPr>
          <w:rFonts w:cstheme="minorHAnsi"/>
          <w:b/>
          <w:color w:val="ED7D31" w:themeColor="accent2"/>
          <w:sz w:val="23"/>
          <w:szCs w:val="23"/>
        </w:rPr>
        <w:t>Finansowe zaangażowanie</w:t>
      </w:r>
    </w:p>
    <w:p w:rsidR="0060707E" w:rsidRPr="0060707E" w:rsidRDefault="0060707E" w:rsidP="001453D7">
      <w:pPr>
        <w:pStyle w:val="Akapitzlist"/>
        <w:jc w:val="both"/>
        <w:rPr>
          <w:rStyle w:val="fontstyle01"/>
          <w:rFonts w:asciiTheme="minorHAnsi" w:hAnsiTheme="minorHAnsi" w:cstheme="minorHAnsi"/>
          <w:color w:val="auto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Współpraca w ramach obszarów funkcjonalnych nie zawsze rozkłada się równomiernie. Przeważnie to gminy podmiejskie w ramach współpracy płacą więcej, a miasto centralnie w niewielkim stopniu partycypuje w kosztach. </w:t>
      </w:r>
      <w:r>
        <w:rPr>
          <w:rFonts w:cstheme="minorHAnsi"/>
          <w:sz w:val="23"/>
          <w:szCs w:val="23"/>
        </w:rPr>
        <w:t>Zielona Góra</w:t>
      </w:r>
      <w:r w:rsidRPr="0060707E">
        <w:rPr>
          <w:rFonts w:cstheme="minorHAnsi"/>
          <w:sz w:val="23"/>
          <w:szCs w:val="23"/>
        </w:rPr>
        <w:t xml:space="preserve"> należy do czterech miast centralnych, które w ramach współpracy transferują najwięcej środków.  </w:t>
      </w:r>
    </w:p>
    <w:p w:rsidR="00605C77" w:rsidRPr="0060707E" w:rsidRDefault="006D3A9B" w:rsidP="00605C77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60707E">
        <w:rPr>
          <w:rFonts w:cstheme="minorHAnsi"/>
          <w:b/>
          <w:color w:val="ED7D31" w:themeColor="accent2"/>
          <w:sz w:val="23"/>
          <w:szCs w:val="23"/>
        </w:rPr>
        <w:t>Dostępność przystanków komunikacji publicz</w:t>
      </w:r>
      <w:r w:rsidR="00605C77" w:rsidRPr="0060707E">
        <w:rPr>
          <w:rFonts w:cstheme="minorHAnsi"/>
          <w:b/>
          <w:color w:val="ED7D31" w:themeColor="accent2"/>
          <w:sz w:val="23"/>
          <w:szCs w:val="23"/>
        </w:rPr>
        <w:t>nej pozostawia wiele do życzenia</w:t>
      </w:r>
    </w:p>
    <w:p w:rsidR="006D3A9B" w:rsidRPr="0060707E" w:rsidRDefault="006D3A9B" w:rsidP="00605C77">
      <w:pPr>
        <w:pStyle w:val="Akapitzlist"/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60707E">
        <w:rPr>
          <w:rFonts w:cstheme="minorHAnsi"/>
          <w:color w:val="1A1A18"/>
          <w:sz w:val="23"/>
          <w:szCs w:val="23"/>
        </w:rPr>
        <w:t>Pod względem o dostępu do komunikacji publicznej, w bardzo złej sytuacji są zamieszkujący w gminach wokół Zielonej Góry</w:t>
      </w:r>
      <w:r w:rsidR="00EE6EE6" w:rsidRPr="0060707E">
        <w:rPr>
          <w:rFonts w:cstheme="minorHAnsi"/>
          <w:color w:val="1A1A18"/>
          <w:sz w:val="23"/>
          <w:szCs w:val="23"/>
        </w:rPr>
        <w:t xml:space="preserve"> (</w:t>
      </w:r>
      <w:r w:rsidR="00EE6EE6" w:rsidRPr="001453D7">
        <w:rPr>
          <w:rFonts w:cstheme="minorHAnsi"/>
          <w:b/>
          <w:color w:val="1A1A18"/>
          <w:sz w:val="23"/>
          <w:szCs w:val="23"/>
        </w:rPr>
        <w:t>Świdnica, Czerwieńsk, Sulechów</w:t>
      </w:r>
      <w:r w:rsidR="00605C77" w:rsidRPr="001453D7">
        <w:rPr>
          <w:rFonts w:cstheme="minorHAnsi"/>
          <w:b/>
          <w:color w:val="1A1A18"/>
          <w:sz w:val="23"/>
          <w:szCs w:val="23"/>
        </w:rPr>
        <w:t>, Zabór</w:t>
      </w:r>
      <w:r w:rsidR="00EE6EE6" w:rsidRPr="0060707E">
        <w:rPr>
          <w:rFonts w:cstheme="minorHAnsi"/>
          <w:color w:val="1A1A18"/>
          <w:sz w:val="23"/>
          <w:szCs w:val="23"/>
        </w:rPr>
        <w:t>)</w:t>
      </w:r>
      <w:r w:rsidRPr="0060707E">
        <w:rPr>
          <w:rFonts w:cstheme="minorHAnsi"/>
          <w:color w:val="1A1A18"/>
          <w:sz w:val="23"/>
          <w:szCs w:val="23"/>
        </w:rPr>
        <w:t xml:space="preserve"> </w:t>
      </w:r>
      <w:r w:rsidRPr="0060707E">
        <w:rPr>
          <w:rFonts w:cstheme="minorHAnsi"/>
          <w:color w:val="1A1A18"/>
          <w:sz w:val="23"/>
          <w:szCs w:val="23"/>
        </w:rPr>
        <w:lastRenderedPageBreak/>
        <w:t xml:space="preserve">– tylko co piąty mieszkaniec znajduje się w akceptowalnym buforze </w:t>
      </w:r>
      <w:r w:rsidR="0060707E">
        <w:rPr>
          <w:rFonts w:cstheme="minorHAnsi"/>
          <w:color w:val="1A1A18"/>
          <w:sz w:val="23"/>
          <w:szCs w:val="23"/>
        </w:rPr>
        <w:t xml:space="preserve">pieszej </w:t>
      </w:r>
      <w:r w:rsidRPr="0060707E">
        <w:rPr>
          <w:rFonts w:cstheme="minorHAnsi"/>
          <w:color w:val="1A1A18"/>
          <w:sz w:val="23"/>
          <w:szCs w:val="23"/>
        </w:rPr>
        <w:t xml:space="preserve">dostępności przystanków. Co to oznacza w praktyce? Mieszkaniec gminy podmiejskiej musi przejść do przystanku ponad 3 kilometry. </w:t>
      </w:r>
      <w:r w:rsidR="00EE6EE6" w:rsidRPr="0060707E">
        <w:rPr>
          <w:rFonts w:cstheme="minorHAnsi"/>
          <w:color w:val="1A1A18"/>
          <w:sz w:val="23"/>
          <w:szCs w:val="23"/>
        </w:rPr>
        <w:t xml:space="preserve">Jak zwracają uwagę twórcy raportu, dystans ten jest co najmniej trzykrotnie za duży, aby codzienne użytkowanie komunikacji publicznej uznać za atrakcyjną formę podróży. </w:t>
      </w:r>
    </w:p>
    <w:p w:rsidR="006D3A9B" w:rsidRPr="0060707E" w:rsidRDefault="00EE6EE6" w:rsidP="001145CD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60707E">
        <w:rPr>
          <w:rFonts w:cstheme="minorHAnsi"/>
          <w:b/>
          <w:color w:val="ED7D31" w:themeColor="accent2"/>
          <w:sz w:val="23"/>
          <w:szCs w:val="23"/>
        </w:rPr>
        <w:t xml:space="preserve">Zbyt mała </w:t>
      </w:r>
      <w:r w:rsidR="008E584A">
        <w:rPr>
          <w:rFonts w:cstheme="minorHAnsi"/>
          <w:b/>
          <w:color w:val="ED7D31" w:themeColor="accent2"/>
          <w:sz w:val="23"/>
          <w:szCs w:val="23"/>
        </w:rPr>
        <w:t xml:space="preserve">liczba </w:t>
      </w:r>
      <w:r w:rsidRPr="0060707E">
        <w:rPr>
          <w:rFonts w:cstheme="minorHAnsi"/>
          <w:b/>
          <w:color w:val="ED7D31" w:themeColor="accent2"/>
          <w:sz w:val="23"/>
          <w:szCs w:val="23"/>
        </w:rPr>
        <w:t>połączeń</w:t>
      </w:r>
      <w:r w:rsidR="007C3160" w:rsidRPr="0060707E">
        <w:rPr>
          <w:rFonts w:cstheme="minorHAnsi"/>
          <w:b/>
          <w:color w:val="ED7D31" w:themeColor="accent2"/>
          <w:sz w:val="23"/>
          <w:szCs w:val="23"/>
        </w:rPr>
        <w:t xml:space="preserve"> i brak integracji</w:t>
      </w:r>
    </w:p>
    <w:p w:rsidR="00AB1978" w:rsidRPr="0060707E" w:rsidRDefault="00EE6EE6" w:rsidP="001453D7">
      <w:pPr>
        <w:pStyle w:val="Akapitzlist"/>
        <w:jc w:val="both"/>
        <w:rPr>
          <w:rFonts w:cstheme="minorHAnsi"/>
          <w:bCs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W raporcie zbadano liczbę par połączeń komunikacją publiczną z i do Zielonej Góry w dni robocze. Wyniki są bardzo niepokojące. W przeliczeniu na 1000 mieszkańców </w:t>
      </w:r>
      <w:r w:rsidR="00605C77" w:rsidRPr="0060707E">
        <w:rPr>
          <w:rFonts w:cstheme="minorHAnsi"/>
          <w:sz w:val="23"/>
          <w:szCs w:val="23"/>
        </w:rPr>
        <w:t xml:space="preserve">w gminach podmiejskich jest jedynie 1,6 par połączeń z/do Zielonej Góry. </w:t>
      </w:r>
      <w:r w:rsidR="007C3160" w:rsidRPr="0060707E">
        <w:rPr>
          <w:rFonts w:cstheme="minorHAnsi"/>
          <w:sz w:val="23"/>
          <w:szCs w:val="23"/>
        </w:rPr>
        <w:t xml:space="preserve">Taka sytuacja wraz </w:t>
      </w:r>
      <w:r w:rsidR="001453D7">
        <w:rPr>
          <w:rFonts w:cstheme="minorHAnsi"/>
          <w:sz w:val="23"/>
          <w:szCs w:val="23"/>
        </w:rPr>
        <w:br/>
      </w:r>
      <w:r w:rsidR="007C3160" w:rsidRPr="0060707E">
        <w:rPr>
          <w:rFonts w:cstheme="minorHAnsi"/>
          <w:sz w:val="23"/>
          <w:szCs w:val="23"/>
        </w:rPr>
        <w:t xml:space="preserve">z bardzo słabą integracją transportu sprawia, że podróż komunikacją publiczną nie stanowi atrakcyjnej alternatywy dla podróży samochodem. Czego zatem brakuje? Autorzy wskazują między innymi na brak </w:t>
      </w:r>
      <w:r w:rsidR="007C3160" w:rsidRPr="0060707E">
        <w:rPr>
          <w:rFonts w:cstheme="minorHAnsi"/>
          <w:bCs/>
          <w:sz w:val="23"/>
          <w:szCs w:val="23"/>
        </w:rPr>
        <w:t>zintegrowanej aglomeracyjnej taryfy biletowej</w:t>
      </w:r>
      <w:r w:rsidR="00796585" w:rsidRPr="0060707E">
        <w:rPr>
          <w:rFonts w:cstheme="minorHAnsi"/>
          <w:bCs/>
          <w:sz w:val="23"/>
          <w:szCs w:val="23"/>
        </w:rPr>
        <w:t>, która przykładowo umożliwiłaby na podróż między gminami na jednym bilecie. Takie rozwiązanie powoli staje się standardem w innych ośrodkach.</w:t>
      </w:r>
    </w:p>
    <w:p w:rsidR="006A1CC3" w:rsidRPr="0060707E" w:rsidRDefault="006A1CC3" w:rsidP="006A1CC3">
      <w:pPr>
        <w:pStyle w:val="Akapitzlist"/>
        <w:rPr>
          <w:rFonts w:cstheme="minorHAnsi"/>
          <w:bCs/>
          <w:sz w:val="23"/>
          <w:szCs w:val="23"/>
        </w:rPr>
      </w:pPr>
    </w:p>
    <w:p w:rsidR="0039467C" w:rsidRPr="0060707E" w:rsidRDefault="007D61B3" w:rsidP="00821586">
      <w:pPr>
        <w:pStyle w:val="Akapitzlist"/>
        <w:ind w:left="0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>Kluczowe wnioski</w:t>
      </w:r>
      <w:r w:rsidR="00821586" w:rsidRPr="0060707E">
        <w:rPr>
          <w:rFonts w:cstheme="minorHAnsi"/>
          <w:b/>
          <w:sz w:val="23"/>
          <w:szCs w:val="23"/>
        </w:rPr>
        <w:t xml:space="preserve"> dla wszystkich ośrodków w Polsce</w:t>
      </w:r>
    </w:p>
    <w:p w:rsidR="00821586" w:rsidRPr="0060707E" w:rsidRDefault="00821586" w:rsidP="00AB1978">
      <w:pPr>
        <w:pStyle w:val="Akapitzlist"/>
        <w:rPr>
          <w:rFonts w:cstheme="minorHAnsi"/>
          <w:b/>
          <w:sz w:val="23"/>
          <w:szCs w:val="23"/>
        </w:rPr>
      </w:pPr>
    </w:p>
    <w:p w:rsidR="001453D7" w:rsidRPr="001453D7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60707E">
        <w:rPr>
          <w:rFonts w:cstheme="minorHAnsi"/>
          <w:b/>
          <w:color w:val="ED7D31"/>
          <w:sz w:val="23"/>
          <w:szCs w:val="23"/>
        </w:rPr>
        <w:t>e miejskimi obszarami f</w:t>
      </w:r>
      <w:r w:rsidRPr="0060707E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>
        <w:rPr>
          <w:rFonts w:cstheme="minorHAnsi"/>
          <w:b/>
          <w:color w:val="ED7D31"/>
          <w:sz w:val="23"/>
          <w:szCs w:val="23"/>
        </w:rPr>
        <w:br/>
      </w:r>
      <w:r w:rsidRPr="0060707E">
        <w:rPr>
          <w:rFonts w:cstheme="minorHAnsi"/>
          <w:b/>
          <w:color w:val="ED7D31"/>
          <w:sz w:val="23"/>
          <w:szCs w:val="23"/>
        </w:rPr>
        <w:t>w Polsce udać.</w:t>
      </w:r>
      <w:r w:rsidRPr="0060707E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60707E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60707E">
        <w:rPr>
          <w:rFonts w:cstheme="minorHAnsi"/>
          <w:sz w:val="23"/>
          <w:szCs w:val="23"/>
        </w:rPr>
        <w:t xml:space="preserve">z </w:t>
      </w:r>
      <w:r w:rsidRPr="0060707E">
        <w:rPr>
          <w:rFonts w:cstheme="minorHAnsi"/>
          <w:b/>
          <w:sz w:val="23"/>
          <w:szCs w:val="23"/>
        </w:rPr>
        <w:t>Poznania</w:t>
      </w:r>
      <w:r w:rsidRPr="0060707E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>
        <w:rPr>
          <w:rFonts w:cstheme="minorHAnsi"/>
          <w:sz w:val="23"/>
          <w:szCs w:val="23"/>
        </w:rPr>
        <w:br/>
      </w:r>
      <w:r w:rsidRPr="0060707E">
        <w:rPr>
          <w:rFonts w:cstheme="minorHAnsi"/>
          <w:sz w:val="23"/>
          <w:szCs w:val="23"/>
        </w:rPr>
        <w:t>w ramach Stowarzyszenia Metropolia Poznań (SMP);</w:t>
      </w:r>
      <w:r w:rsidR="008F3B54" w:rsidRPr="0060707E">
        <w:rPr>
          <w:rFonts w:cstheme="minorHAnsi"/>
          <w:sz w:val="23"/>
          <w:szCs w:val="23"/>
        </w:rPr>
        <w:t xml:space="preserve"> z</w:t>
      </w:r>
      <w:r w:rsidRPr="0060707E">
        <w:rPr>
          <w:rFonts w:cstheme="minorHAnsi"/>
          <w:sz w:val="23"/>
          <w:szCs w:val="23"/>
        </w:rPr>
        <w:t xml:space="preserve"> </w:t>
      </w:r>
      <w:r w:rsidRPr="0060707E">
        <w:rPr>
          <w:rFonts w:cstheme="minorHAnsi"/>
          <w:b/>
          <w:sz w:val="23"/>
          <w:szCs w:val="23"/>
        </w:rPr>
        <w:t>Szczecina</w:t>
      </w:r>
      <w:r w:rsidRPr="0060707E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60707E">
        <w:rPr>
          <w:rFonts w:cstheme="minorHAnsi"/>
          <w:sz w:val="23"/>
          <w:szCs w:val="23"/>
        </w:rPr>
        <w:t>y</w:t>
      </w:r>
      <w:r w:rsidRPr="0060707E">
        <w:rPr>
          <w:rFonts w:cstheme="minorHAnsi"/>
          <w:sz w:val="23"/>
          <w:szCs w:val="23"/>
        </w:rPr>
        <w:t xml:space="preserve"> położon</w:t>
      </w:r>
      <w:r w:rsidR="008F3B54" w:rsidRPr="0060707E">
        <w:rPr>
          <w:rFonts w:cstheme="minorHAnsi"/>
          <w:sz w:val="23"/>
          <w:szCs w:val="23"/>
        </w:rPr>
        <w:t>e</w:t>
      </w:r>
      <w:r w:rsidRPr="0060707E">
        <w:rPr>
          <w:rFonts w:cstheme="minorHAnsi"/>
          <w:sz w:val="23"/>
          <w:szCs w:val="23"/>
        </w:rPr>
        <w:t xml:space="preserve"> w obszarze intensywnych powiązań funkcjonalnych; </w:t>
      </w:r>
      <w:r w:rsidR="008F3B54" w:rsidRPr="0060707E">
        <w:rPr>
          <w:rFonts w:cstheme="minorHAnsi"/>
          <w:sz w:val="23"/>
          <w:szCs w:val="23"/>
        </w:rPr>
        <w:t xml:space="preserve">z </w:t>
      </w:r>
      <w:r w:rsidR="008F3B54" w:rsidRPr="0060707E">
        <w:rPr>
          <w:rFonts w:cstheme="minorHAnsi"/>
          <w:b/>
          <w:sz w:val="23"/>
          <w:szCs w:val="23"/>
        </w:rPr>
        <w:t>Trójmiasta</w:t>
      </w:r>
      <w:r w:rsidR="008F3B54" w:rsidRPr="0060707E">
        <w:rPr>
          <w:rFonts w:cstheme="minorHAnsi"/>
          <w:sz w:val="23"/>
          <w:szCs w:val="23"/>
        </w:rPr>
        <w:t>, któremu udało się wyjść ponad konkurencję dwóch miast - Gdańska</w:t>
      </w:r>
      <w:r w:rsidR="0070554F" w:rsidRPr="0060707E">
        <w:rPr>
          <w:rFonts w:cstheme="minorHAnsi"/>
          <w:sz w:val="23"/>
          <w:szCs w:val="23"/>
        </w:rPr>
        <w:fldChar w:fldCharType="begin"/>
      </w:r>
      <w:r w:rsidR="008F3B54" w:rsidRPr="0060707E">
        <w:rPr>
          <w:rFonts w:cstheme="minorHAnsi"/>
          <w:sz w:val="23"/>
          <w:szCs w:val="23"/>
        </w:rPr>
        <w:instrText xml:space="preserve"> XE "Gdańsk" </w:instrText>
      </w:r>
      <w:r w:rsidR="0070554F" w:rsidRPr="0060707E">
        <w:rPr>
          <w:rFonts w:cstheme="minorHAnsi"/>
          <w:sz w:val="23"/>
          <w:szCs w:val="23"/>
        </w:rPr>
        <w:fldChar w:fldCharType="end"/>
      </w:r>
      <w:r w:rsidR="008F3B54" w:rsidRPr="0060707E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60707E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>Równocześnie p</w:t>
      </w:r>
      <w:r w:rsidR="008F3B54" w:rsidRPr="0060707E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60707E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60707E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60707E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60707E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60707E">
        <w:rPr>
          <w:rFonts w:cstheme="minorHAnsi"/>
          <w:sz w:val="23"/>
          <w:szCs w:val="23"/>
        </w:rPr>
        <w:t xml:space="preserve"> </w:t>
      </w:r>
      <w:r w:rsidR="00B60DB1" w:rsidRPr="0060707E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60707E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60707E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Dwa największe</w:t>
      </w:r>
      <w:r w:rsidRPr="0060707E">
        <w:rPr>
          <w:rFonts w:cstheme="minorHAnsi"/>
          <w:b/>
          <w:sz w:val="23"/>
          <w:szCs w:val="23"/>
        </w:rPr>
        <w:t xml:space="preserve"> </w:t>
      </w:r>
      <w:r w:rsidRPr="0060707E">
        <w:rPr>
          <w:rFonts w:cstheme="minorHAnsi"/>
          <w:sz w:val="23"/>
          <w:szCs w:val="23"/>
        </w:rPr>
        <w:t xml:space="preserve">ośrodki metropolitalne, tj. </w:t>
      </w:r>
      <w:r w:rsidRPr="0060707E">
        <w:rPr>
          <w:rFonts w:cstheme="minorHAnsi"/>
          <w:b/>
          <w:sz w:val="23"/>
          <w:szCs w:val="23"/>
        </w:rPr>
        <w:t>Warszawa</w:t>
      </w:r>
      <w:r w:rsidR="0070554F" w:rsidRPr="0060707E">
        <w:rPr>
          <w:rFonts w:cstheme="minorHAnsi"/>
          <w:sz w:val="23"/>
          <w:szCs w:val="23"/>
        </w:rPr>
        <w:fldChar w:fldCharType="begin"/>
      </w:r>
      <w:r w:rsidRPr="0060707E">
        <w:rPr>
          <w:rFonts w:cstheme="minorHAnsi"/>
          <w:sz w:val="23"/>
          <w:szCs w:val="23"/>
        </w:rPr>
        <w:instrText xml:space="preserve"> XE "MOF Warszawy" </w:instrText>
      </w:r>
      <w:r w:rsidR="0070554F" w:rsidRPr="0060707E">
        <w:rPr>
          <w:rFonts w:cstheme="minorHAnsi"/>
          <w:sz w:val="23"/>
          <w:szCs w:val="23"/>
        </w:rPr>
        <w:fldChar w:fldCharType="end"/>
      </w:r>
      <w:r w:rsidRPr="0060707E">
        <w:rPr>
          <w:rFonts w:cstheme="minorHAnsi"/>
          <w:sz w:val="23"/>
          <w:szCs w:val="23"/>
        </w:rPr>
        <w:t xml:space="preserve"> i </w:t>
      </w:r>
      <w:r w:rsidRPr="0060707E">
        <w:rPr>
          <w:rFonts w:cstheme="minorHAnsi"/>
          <w:b/>
          <w:sz w:val="23"/>
          <w:szCs w:val="23"/>
        </w:rPr>
        <w:t>Kraków</w:t>
      </w:r>
      <w:r w:rsidRPr="0060707E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60707E">
        <w:rPr>
          <w:rFonts w:cstheme="minorHAnsi"/>
          <w:b/>
          <w:sz w:val="23"/>
          <w:szCs w:val="23"/>
        </w:rPr>
        <w:t>Rzeszów</w:t>
      </w:r>
      <w:r w:rsidR="0070554F" w:rsidRPr="0060707E">
        <w:rPr>
          <w:rFonts w:cstheme="minorHAnsi"/>
          <w:sz w:val="23"/>
          <w:szCs w:val="23"/>
        </w:rPr>
        <w:fldChar w:fldCharType="begin"/>
      </w:r>
      <w:r w:rsidRPr="0060707E">
        <w:rPr>
          <w:rFonts w:cstheme="minorHAnsi"/>
          <w:sz w:val="23"/>
          <w:szCs w:val="23"/>
        </w:rPr>
        <w:instrText xml:space="preserve"> XE "Rzeszów" </w:instrText>
      </w:r>
      <w:r w:rsidR="0070554F" w:rsidRPr="0060707E">
        <w:rPr>
          <w:rFonts w:cstheme="minorHAnsi"/>
          <w:sz w:val="23"/>
          <w:szCs w:val="23"/>
        </w:rPr>
        <w:fldChar w:fldCharType="end"/>
      </w:r>
      <w:r w:rsidRPr="0060707E">
        <w:rPr>
          <w:rFonts w:cstheme="minorHAnsi"/>
          <w:sz w:val="23"/>
          <w:szCs w:val="23"/>
        </w:rPr>
        <w:t xml:space="preserve">, </w:t>
      </w:r>
      <w:r w:rsidRPr="0060707E">
        <w:rPr>
          <w:rFonts w:cstheme="minorHAnsi"/>
          <w:b/>
          <w:sz w:val="23"/>
          <w:szCs w:val="23"/>
        </w:rPr>
        <w:t>Zielona Góra</w:t>
      </w:r>
      <w:r w:rsidR="0070554F" w:rsidRPr="0060707E">
        <w:rPr>
          <w:rFonts w:cstheme="minorHAnsi"/>
          <w:b/>
          <w:sz w:val="23"/>
          <w:szCs w:val="23"/>
        </w:rPr>
        <w:fldChar w:fldCharType="begin"/>
      </w:r>
      <w:r w:rsidRPr="0060707E">
        <w:rPr>
          <w:rFonts w:cstheme="minorHAnsi"/>
          <w:b/>
          <w:sz w:val="23"/>
          <w:szCs w:val="23"/>
        </w:rPr>
        <w:instrText xml:space="preserve"> XE "Zielona Góra" </w:instrText>
      </w:r>
      <w:r w:rsidR="0070554F" w:rsidRPr="0060707E">
        <w:rPr>
          <w:rFonts w:cstheme="minorHAnsi"/>
          <w:b/>
          <w:sz w:val="23"/>
          <w:szCs w:val="23"/>
        </w:rPr>
        <w:fldChar w:fldCharType="end"/>
      </w:r>
      <w:r w:rsidRPr="0060707E">
        <w:rPr>
          <w:rFonts w:cstheme="minorHAnsi"/>
          <w:sz w:val="23"/>
          <w:szCs w:val="23"/>
        </w:rPr>
        <w:t xml:space="preserve"> czy </w:t>
      </w:r>
      <w:r w:rsidRPr="0060707E">
        <w:rPr>
          <w:rFonts w:cstheme="minorHAnsi"/>
          <w:b/>
          <w:sz w:val="23"/>
          <w:szCs w:val="23"/>
        </w:rPr>
        <w:t>Opole</w:t>
      </w:r>
      <w:r w:rsidRPr="0060707E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70554F" w:rsidRPr="0060707E">
        <w:rPr>
          <w:rFonts w:cstheme="minorHAnsi"/>
          <w:sz w:val="23"/>
          <w:szCs w:val="23"/>
        </w:rPr>
        <w:fldChar w:fldCharType="begin"/>
      </w:r>
      <w:r w:rsidRPr="0060707E">
        <w:rPr>
          <w:rFonts w:cstheme="minorHAnsi"/>
          <w:sz w:val="23"/>
          <w:szCs w:val="23"/>
        </w:rPr>
        <w:instrText xml:space="preserve"> XE "MOF Krakowa" </w:instrText>
      </w:r>
      <w:r w:rsidR="0070554F" w:rsidRPr="0060707E">
        <w:rPr>
          <w:rFonts w:cstheme="minorHAnsi"/>
          <w:sz w:val="23"/>
          <w:szCs w:val="23"/>
        </w:rPr>
        <w:fldChar w:fldCharType="end"/>
      </w:r>
    </w:p>
    <w:p w:rsidR="001131E1" w:rsidRPr="0060707E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>Efektywne zarządzanie MOF-ami wymaga rzetelnej wiedzy na ich temat.</w:t>
      </w:r>
    </w:p>
    <w:p w:rsidR="001131E1" w:rsidRPr="0060707E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lastRenderedPageBreak/>
        <w:t xml:space="preserve">Brak także systemowych rozwiązań w zakresie gromadzenia danych o współpracy międzysamorządowej – </w:t>
      </w:r>
      <w:r w:rsidR="00052FAF" w:rsidRPr="0060707E">
        <w:rPr>
          <w:rFonts w:cstheme="minorHAnsi"/>
          <w:sz w:val="23"/>
          <w:szCs w:val="23"/>
        </w:rPr>
        <w:t xml:space="preserve"> </w:t>
      </w:r>
      <w:r w:rsidRPr="0060707E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60707E">
        <w:rPr>
          <w:rFonts w:cstheme="minorHAnsi"/>
          <w:sz w:val="23"/>
          <w:szCs w:val="23"/>
        </w:rPr>
        <w:t>. B</w:t>
      </w:r>
      <w:r w:rsidRPr="0060707E">
        <w:rPr>
          <w:rFonts w:cstheme="minorHAnsi"/>
          <w:sz w:val="23"/>
          <w:szCs w:val="23"/>
        </w:rPr>
        <w:t>rak też właściw</w:t>
      </w:r>
      <w:r w:rsidR="004668E9" w:rsidRPr="0060707E">
        <w:rPr>
          <w:rFonts w:cstheme="minorHAnsi"/>
          <w:sz w:val="23"/>
          <w:szCs w:val="23"/>
        </w:rPr>
        <w:t xml:space="preserve">ego opisu atrybutów współpracy, </w:t>
      </w:r>
      <w:r w:rsidRPr="0060707E">
        <w:rPr>
          <w:rFonts w:cstheme="minorHAnsi"/>
          <w:sz w:val="23"/>
          <w:szCs w:val="23"/>
        </w:rPr>
        <w:t>np. ujednoliconych kategorii odnoszących się do za</w:t>
      </w:r>
      <w:r w:rsidR="004668E9" w:rsidRPr="0060707E">
        <w:rPr>
          <w:rFonts w:cstheme="minorHAnsi"/>
          <w:sz w:val="23"/>
          <w:szCs w:val="23"/>
        </w:rPr>
        <w:t>kresu przedmiotowego współpracy</w:t>
      </w:r>
      <w:r w:rsidRPr="0060707E">
        <w:rPr>
          <w:rFonts w:cstheme="minorHAnsi"/>
          <w:sz w:val="23"/>
          <w:szCs w:val="23"/>
        </w:rPr>
        <w:t>.</w:t>
      </w:r>
    </w:p>
    <w:p w:rsidR="001131E1" w:rsidRPr="0060707E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60707E">
        <w:rPr>
          <w:rFonts w:cstheme="minorHAnsi"/>
          <w:b/>
          <w:color w:val="ED7D31"/>
          <w:sz w:val="23"/>
          <w:szCs w:val="23"/>
        </w:rPr>
        <w:t xml:space="preserve">Transport w MOF-ach pozostawia wiele do życzenia. Obecnie rzadko kiedy stanowi atrakcyjną alternatywę dla podróży samochodem. </w:t>
      </w:r>
    </w:p>
    <w:p w:rsidR="007D61B3" w:rsidRPr="0060707E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60707E">
        <w:rPr>
          <w:rFonts w:cstheme="minorHAnsi"/>
          <w:sz w:val="23"/>
          <w:szCs w:val="23"/>
        </w:rPr>
        <w:t>,</w:t>
      </w:r>
      <w:r w:rsidR="00554021" w:rsidRPr="0060707E">
        <w:rPr>
          <w:rFonts w:cstheme="minorHAnsi"/>
          <w:sz w:val="23"/>
          <w:szCs w:val="23"/>
        </w:rPr>
        <w:t xml:space="preserve"> to</w:t>
      </w:r>
      <w:r w:rsidRPr="0060707E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2750D4" w:rsidRPr="0060707E">
        <w:rPr>
          <w:rFonts w:cstheme="minorHAnsi"/>
          <w:sz w:val="23"/>
          <w:szCs w:val="23"/>
        </w:rPr>
        <w:t xml:space="preserve">W przeliczeniu na 1000 mieszkańców w MOF-ach jest średnio </w:t>
      </w:r>
      <w:r w:rsidR="00554021" w:rsidRPr="0060707E">
        <w:rPr>
          <w:rFonts w:cstheme="minorHAnsi"/>
          <w:b/>
          <w:sz w:val="23"/>
          <w:szCs w:val="23"/>
        </w:rPr>
        <w:t>7 kursów dziennie</w:t>
      </w:r>
      <w:r w:rsidR="00554021" w:rsidRPr="0060707E">
        <w:rPr>
          <w:rFonts w:cstheme="minorHAnsi"/>
          <w:sz w:val="23"/>
          <w:szCs w:val="23"/>
        </w:rPr>
        <w:t xml:space="preserve"> komunikacj</w:t>
      </w:r>
      <w:r w:rsidR="009230C4" w:rsidRPr="0060707E">
        <w:rPr>
          <w:rFonts w:cstheme="minorHAnsi"/>
          <w:sz w:val="23"/>
          <w:szCs w:val="23"/>
        </w:rPr>
        <w:t>ą</w:t>
      </w:r>
      <w:r w:rsidR="00554021" w:rsidRPr="0060707E">
        <w:rPr>
          <w:rFonts w:cstheme="minorHAnsi"/>
          <w:sz w:val="23"/>
          <w:szCs w:val="23"/>
        </w:rPr>
        <w:t xml:space="preserve"> publiczn</w:t>
      </w:r>
      <w:r w:rsidR="009230C4" w:rsidRPr="0060707E">
        <w:rPr>
          <w:rFonts w:cstheme="minorHAnsi"/>
          <w:sz w:val="23"/>
          <w:szCs w:val="23"/>
        </w:rPr>
        <w:t>ą</w:t>
      </w:r>
      <w:r w:rsidR="00554021" w:rsidRPr="0060707E">
        <w:rPr>
          <w:rFonts w:cstheme="minorHAnsi"/>
          <w:sz w:val="23"/>
          <w:szCs w:val="23"/>
        </w:rPr>
        <w:t xml:space="preserve"> z i do </w:t>
      </w:r>
      <w:r w:rsidR="008D14CD" w:rsidRPr="0060707E">
        <w:rPr>
          <w:rFonts w:cstheme="minorHAnsi"/>
          <w:sz w:val="23"/>
          <w:szCs w:val="23"/>
        </w:rPr>
        <w:t>miasta centralnego</w:t>
      </w:r>
      <w:r w:rsidR="00554021" w:rsidRPr="0060707E">
        <w:rPr>
          <w:rFonts w:cstheme="minorHAnsi"/>
          <w:sz w:val="23"/>
          <w:szCs w:val="23"/>
        </w:rPr>
        <w:t xml:space="preserve">. Nie dość, że rzadko to jeszcze w wielu </w:t>
      </w:r>
      <w:r w:rsidR="00B60DB1" w:rsidRPr="0060707E">
        <w:rPr>
          <w:rFonts w:cstheme="minorHAnsi"/>
          <w:sz w:val="23"/>
          <w:szCs w:val="23"/>
        </w:rPr>
        <w:t>MOF-ach</w:t>
      </w:r>
      <w:r w:rsidR="00554021" w:rsidRPr="0060707E">
        <w:rPr>
          <w:rFonts w:cstheme="minorHAnsi"/>
          <w:sz w:val="23"/>
          <w:szCs w:val="23"/>
        </w:rPr>
        <w:t xml:space="preserve"> daleko</w:t>
      </w:r>
      <w:r w:rsidR="009230C4" w:rsidRPr="0060707E">
        <w:rPr>
          <w:rFonts w:cstheme="minorHAnsi"/>
          <w:sz w:val="23"/>
          <w:szCs w:val="23"/>
        </w:rPr>
        <w:t xml:space="preserve"> jest do przystanku</w:t>
      </w:r>
      <w:r w:rsidR="00554021" w:rsidRPr="0060707E">
        <w:rPr>
          <w:rFonts w:cstheme="minorHAnsi"/>
          <w:sz w:val="23"/>
          <w:szCs w:val="23"/>
        </w:rPr>
        <w:t xml:space="preserve">. </w:t>
      </w:r>
      <w:r w:rsidR="00554021" w:rsidRPr="0060707E">
        <w:rPr>
          <w:rFonts w:cstheme="minorHAnsi"/>
          <w:b/>
          <w:sz w:val="23"/>
          <w:szCs w:val="23"/>
        </w:rPr>
        <w:t>Średnia odległość</w:t>
      </w:r>
      <w:r w:rsidR="00B779A4" w:rsidRPr="0060707E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60707E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60707E">
        <w:rPr>
          <w:rFonts w:cstheme="minorHAnsi"/>
          <w:b/>
          <w:sz w:val="23"/>
          <w:szCs w:val="23"/>
        </w:rPr>
        <w:t>wynosi ponad 2 km</w:t>
      </w:r>
      <w:r w:rsidR="00554021" w:rsidRPr="0060707E">
        <w:rPr>
          <w:rFonts w:cstheme="minorHAnsi"/>
          <w:sz w:val="23"/>
          <w:szCs w:val="23"/>
        </w:rPr>
        <w:t xml:space="preserve">, a w niektórych ośrodkach jest to nawet ponad 3 km. </w:t>
      </w:r>
      <w:r w:rsidR="008D14CD" w:rsidRPr="0060707E">
        <w:rPr>
          <w:rFonts w:cstheme="minorHAnsi"/>
          <w:sz w:val="23"/>
          <w:szCs w:val="23"/>
        </w:rPr>
        <w:t>Brakuje również</w:t>
      </w:r>
      <w:r w:rsidRPr="0060707E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4828B4" w:rsidRPr="0060707E" w:rsidRDefault="004828B4" w:rsidP="007D61B3">
      <w:pPr>
        <w:rPr>
          <w:rFonts w:cstheme="minorHAnsi"/>
          <w:sz w:val="23"/>
          <w:szCs w:val="23"/>
        </w:rPr>
      </w:pPr>
    </w:p>
    <w:p w:rsidR="0053697E" w:rsidRPr="0060707E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 xml:space="preserve">Raporty </w:t>
      </w:r>
    </w:p>
    <w:p w:rsidR="0053697E" w:rsidRPr="0060707E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Rozwój </w:t>
      </w:r>
      <w:r w:rsidR="00BB516F" w:rsidRPr="0060707E">
        <w:rPr>
          <w:rFonts w:cstheme="minorHAnsi"/>
          <w:i/>
          <w:sz w:val="23"/>
          <w:szCs w:val="23"/>
        </w:rPr>
        <w:t>g</w:t>
      </w:r>
      <w:r w:rsidRPr="0060707E">
        <w:rPr>
          <w:rFonts w:cstheme="minorHAnsi"/>
          <w:i/>
          <w:sz w:val="23"/>
          <w:szCs w:val="23"/>
        </w:rPr>
        <w:t xml:space="preserve">ospodarczy 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60707E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230C4" w:rsidRDefault="0070554F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230C4" w:rsidRPr="00EF7028" w:rsidTr="00EF7028">
        <w:tc>
          <w:tcPr>
            <w:tcW w:w="4928" w:type="dxa"/>
          </w:tcPr>
          <w:p w:rsidR="009230C4" w:rsidRPr="00EF7028" w:rsidRDefault="009230C4" w:rsidP="0053697E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b/>
                <w:color w:val="ED7D31"/>
                <w:sz w:val="23"/>
                <w:szCs w:val="23"/>
              </w:rPr>
              <w:t>KONTAKT:</w:t>
            </w:r>
          </w:p>
        </w:tc>
      </w:tr>
      <w:tr w:rsidR="009230C4" w:rsidRPr="00EF7028" w:rsidTr="00EF7028">
        <w:trPr>
          <w:trHeight w:val="506"/>
        </w:trPr>
        <w:tc>
          <w:tcPr>
            <w:tcW w:w="4928" w:type="dxa"/>
          </w:tcPr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EF7028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9230C4" w:rsidRPr="00EF7028" w:rsidRDefault="009230C4" w:rsidP="0053697E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9230C4" w:rsidRPr="00F730F9" w:rsidTr="00EF7028">
        <w:trPr>
          <w:trHeight w:val="672"/>
        </w:trPr>
        <w:tc>
          <w:tcPr>
            <w:tcW w:w="4928" w:type="dxa"/>
          </w:tcPr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tel.: (+48) 12 634 29 53, wew. 21 </w:t>
            </w:r>
          </w:p>
          <w:p w:rsidR="009230C4" w:rsidRPr="00EF7028" w:rsidRDefault="009230C4" w:rsidP="0053697E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9230C4" w:rsidRDefault="0039467C">
      <w:pPr>
        <w:rPr>
          <w:rFonts w:asciiTheme="majorHAnsi" w:hAnsiTheme="majorHAnsi" w:cstheme="majorHAnsi"/>
          <w:lang w:val="en-US"/>
        </w:rPr>
      </w:pPr>
    </w:p>
    <w:sectPr w:rsidR="0039467C" w:rsidRPr="009230C4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A8" w:rsidRDefault="00F731A8" w:rsidP="00B5763F">
      <w:pPr>
        <w:spacing w:after="0" w:line="240" w:lineRule="auto"/>
      </w:pPr>
      <w:r>
        <w:separator/>
      </w:r>
    </w:p>
  </w:endnote>
  <w:endnote w:type="continuationSeparator" w:id="0">
    <w:p w:rsidR="00F731A8" w:rsidRDefault="00F731A8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rmin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A8" w:rsidRDefault="00F731A8" w:rsidP="00B5763F">
      <w:pPr>
        <w:spacing w:after="0" w:line="240" w:lineRule="auto"/>
      </w:pPr>
      <w:r>
        <w:separator/>
      </w:r>
    </w:p>
  </w:footnote>
  <w:footnote w:type="continuationSeparator" w:id="0">
    <w:p w:rsidR="00F731A8" w:rsidRDefault="00F731A8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2F4F"/>
    <w:multiLevelType w:val="hybridMultilevel"/>
    <w:tmpl w:val="45CE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67C"/>
    <w:rsid w:val="00007980"/>
    <w:rsid w:val="00052FAF"/>
    <w:rsid w:val="00094F08"/>
    <w:rsid w:val="000C3BA8"/>
    <w:rsid w:val="001131E1"/>
    <w:rsid w:val="001145CD"/>
    <w:rsid w:val="001453D7"/>
    <w:rsid w:val="00164856"/>
    <w:rsid w:val="00190D29"/>
    <w:rsid w:val="001F55A8"/>
    <w:rsid w:val="002750D4"/>
    <w:rsid w:val="002E4779"/>
    <w:rsid w:val="003111A5"/>
    <w:rsid w:val="00335105"/>
    <w:rsid w:val="0039467C"/>
    <w:rsid w:val="00396188"/>
    <w:rsid w:val="003B3ED5"/>
    <w:rsid w:val="003C0FAB"/>
    <w:rsid w:val="004106E4"/>
    <w:rsid w:val="0041321B"/>
    <w:rsid w:val="00424C53"/>
    <w:rsid w:val="004668E9"/>
    <w:rsid w:val="00476172"/>
    <w:rsid w:val="004828B4"/>
    <w:rsid w:val="004C11A4"/>
    <w:rsid w:val="004C5B8C"/>
    <w:rsid w:val="004D6E4A"/>
    <w:rsid w:val="005179EF"/>
    <w:rsid w:val="0053697E"/>
    <w:rsid w:val="00541633"/>
    <w:rsid w:val="00554021"/>
    <w:rsid w:val="00562E35"/>
    <w:rsid w:val="0059182D"/>
    <w:rsid w:val="00605C77"/>
    <w:rsid w:val="0060707E"/>
    <w:rsid w:val="006A1CC3"/>
    <w:rsid w:val="006B0B80"/>
    <w:rsid w:val="006B2F7D"/>
    <w:rsid w:val="006D3A9B"/>
    <w:rsid w:val="0070554F"/>
    <w:rsid w:val="00762BE4"/>
    <w:rsid w:val="00783DFE"/>
    <w:rsid w:val="00796585"/>
    <w:rsid w:val="007965C2"/>
    <w:rsid w:val="007A3B42"/>
    <w:rsid w:val="007C3160"/>
    <w:rsid w:val="007D61B3"/>
    <w:rsid w:val="00821586"/>
    <w:rsid w:val="00843880"/>
    <w:rsid w:val="00844A78"/>
    <w:rsid w:val="00857B7C"/>
    <w:rsid w:val="00857DE2"/>
    <w:rsid w:val="00872072"/>
    <w:rsid w:val="008723F8"/>
    <w:rsid w:val="008D14CD"/>
    <w:rsid w:val="008E584A"/>
    <w:rsid w:val="008E6D76"/>
    <w:rsid w:val="008F3B54"/>
    <w:rsid w:val="009230C4"/>
    <w:rsid w:val="00953FD6"/>
    <w:rsid w:val="009E392B"/>
    <w:rsid w:val="00A20986"/>
    <w:rsid w:val="00A85AAD"/>
    <w:rsid w:val="00AB1978"/>
    <w:rsid w:val="00AC4985"/>
    <w:rsid w:val="00B13C58"/>
    <w:rsid w:val="00B16BB2"/>
    <w:rsid w:val="00B5763F"/>
    <w:rsid w:val="00B60DB1"/>
    <w:rsid w:val="00B67289"/>
    <w:rsid w:val="00B779A4"/>
    <w:rsid w:val="00BB516F"/>
    <w:rsid w:val="00C27881"/>
    <w:rsid w:val="00C60953"/>
    <w:rsid w:val="00C648E0"/>
    <w:rsid w:val="00C95832"/>
    <w:rsid w:val="00CA66B4"/>
    <w:rsid w:val="00D61BF4"/>
    <w:rsid w:val="00D63FE6"/>
    <w:rsid w:val="00D96450"/>
    <w:rsid w:val="00DA073E"/>
    <w:rsid w:val="00DE73C1"/>
    <w:rsid w:val="00E65600"/>
    <w:rsid w:val="00E707D0"/>
    <w:rsid w:val="00EE6EE6"/>
    <w:rsid w:val="00EF6FD4"/>
    <w:rsid w:val="00EF7028"/>
    <w:rsid w:val="00F122FA"/>
    <w:rsid w:val="00F3177C"/>
    <w:rsid w:val="00F730F9"/>
    <w:rsid w:val="00F731A8"/>
    <w:rsid w:val="00FB01CA"/>
    <w:rsid w:val="00FD3839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D7757"/>
  <w15:docId w15:val="{39945D5A-6E95-474D-B2A6-0C84EAB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Siatkatabeli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5D1D-C4B1-4F28-81E3-40F8307A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9</cp:revision>
  <dcterms:created xsi:type="dcterms:W3CDTF">2017-11-17T13:50:00Z</dcterms:created>
  <dcterms:modified xsi:type="dcterms:W3CDTF">2017-12-11T08:45:00Z</dcterms:modified>
</cp:coreProperties>
</file>